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339" w:rsidRDefault="003F1339" w:rsidP="003F1339">
      <w:pPr>
        <w:pStyle w:val="a5"/>
        <w:numPr>
          <w:ilvl w:val="0"/>
          <w:numId w:val="2"/>
        </w:numPr>
        <w:autoSpaceDE w:val="0"/>
        <w:autoSpaceDN w:val="0"/>
        <w:adjustRightInd w:val="0"/>
        <w:spacing w:line="360" w:lineRule="auto"/>
        <w:ind w:firstLineChars="0"/>
        <w:jc w:val="left"/>
        <w:rPr>
          <w:rFonts w:ascii="Times New Roman" w:hAnsi="Times New Roman" w:cs="Times New Roman"/>
          <w:b/>
          <w:color w:val="000000"/>
          <w:kern w:val="0"/>
          <w:sz w:val="44"/>
          <w:szCs w:val="44"/>
        </w:rPr>
      </w:pPr>
      <w:r w:rsidRPr="003F1339">
        <w:rPr>
          <w:rFonts w:ascii="Times New Roman" w:hAnsi="Times New Roman" w:cs="Times New Roman"/>
          <w:b/>
          <w:color w:val="000000"/>
          <w:kern w:val="0"/>
          <w:sz w:val="44"/>
          <w:szCs w:val="44"/>
        </w:rPr>
        <w:t>主量元素分析方法说明</w:t>
      </w:r>
    </w:p>
    <w:p w:rsidR="003F1339" w:rsidRPr="003F1339" w:rsidRDefault="003F1339" w:rsidP="003F1339">
      <w:pPr>
        <w:pStyle w:val="a5"/>
        <w:autoSpaceDE w:val="0"/>
        <w:autoSpaceDN w:val="0"/>
        <w:adjustRightInd w:val="0"/>
        <w:spacing w:line="360" w:lineRule="auto"/>
        <w:ind w:left="420" w:firstLineChars="0" w:firstLine="0"/>
        <w:jc w:val="left"/>
        <w:rPr>
          <w:rFonts w:ascii="Times New Roman" w:hAnsi="Times New Roman" w:cs="Times New Roman" w:hint="eastAsia"/>
          <w:b/>
          <w:color w:val="000000"/>
          <w:kern w:val="0"/>
          <w:sz w:val="44"/>
          <w:szCs w:val="44"/>
        </w:rPr>
      </w:pPr>
      <w:bookmarkStart w:id="0" w:name="_GoBack"/>
      <w:bookmarkEnd w:id="0"/>
    </w:p>
    <w:p w:rsidR="006434AC" w:rsidRPr="00AE6E3C" w:rsidRDefault="0022489B" w:rsidP="00CF4218">
      <w:pPr>
        <w:pStyle w:val="a5"/>
        <w:numPr>
          <w:ilvl w:val="0"/>
          <w:numId w:val="1"/>
        </w:numPr>
        <w:autoSpaceDE w:val="0"/>
        <w:autoSpaceDN w:val="0"/>
        <w:adjustRightInd w:val="0"/>
        <w:spacing w:line="360" w:lineRule="auto"/>
        <w:ind w:firstLineChars="0"/>
        <w:jc w:val="left"/>
        <w:rPr>
          <w:rFonts w:ascii="Times New Roman" w:hAnsi="Times New Roman" w:cs="Times New Roman"/>
          <w:color w:val="000000"/>
          <w:kern w:val="0"/>
          <w:szCs w:val="18"/>
        </w:rPr>
      </w:pPr>
      <w:r w:rsidRPr="00AE6E3C">
        <w:rPr>
          <w:rFonts w:ascii="Times New Roman" w:hAnsi="Times New Roman" w:cs="Times New Roman"/>
          <w:color w:val="000000"/>
          <w:kern w:val="0"/>
          <w:szCs w:val="18"/>
        </w:rPr>
        <w:t>Major element data for</w:t>
      </w:r>
      <w:r w:rsidRPr="00AE6E3C">
        <w:rPr>
          <w:rFonts w:ascii="Times New Roman" w:hAnsi="Times New Roman" w:cs="Times New Roman" w:hint="eastAsia"/>
          <w:color w:val="000000"/>
          <w:kern w:val="0"/>
          <w:szCs w:val="18"/>
        </w:rPr>
        <w:t xml:space="preserve"> </w:t>
      </w:r>
      <w:r w:rsidRPr="00AE6E3C">
        <w:rPr>
          <w:rFonts w:ascii="Times New Roman" w:hAnsi="Times New Roman" w:cs="Times New Roman"/>
          <w:color w:val="000000"/>
          <w:kern w:val="0"/>
          <w:szCs w:val="18"/>
        </w:rPr>
        <w:t>whole-rock samples</w:t>
      </w:r>
      <w:r w:rsidRPr="00AE6E3C">
        <w:rPr>
          <w:rFonts w:ascii="Times New Roman" w:hAnsi="Times New Roman" w:cs="Times New Roman" w:hint="eastAsia"/>
          <w:color w:val="000000"/>
          <w:kern w:val="0"/>
          <w:szCs w:val="18"/>
        </w:rPr>
        <w:t xml:space="preserve"> </w:t>
      </w:r>
      <w:r w:rsidRPr="00AE6E3C">
        <w:rPr>
          <w:rFonts w:ascii="Times New Roman" w:hAnsi="Times New Roman" w:cs="Times New Roman"/>
          <w:color w:val="000000"/>
          <w:kern w:val="0"/>
          <w:szCs w:val="18"/>
        </w:rPr>
        <w:t>were obtained by X-Ray</w:t>
      </w:r>
      <w:r w:rsidRPr="00AE6E3C">
        <w:rPr>
          <w:rFonts w:ascii="Times New Roman" w:hAnsi="Times New Roman" w:cs="Times New Roman" w:hint="eastAsia"/>
          <w:color w:val="000000"/>
          <w:kern w:val="0"/>
          <w:szCs w:val="18"/>
        </w:rPr>
        <w:t xml:space="preserve"> </w:t>
      </w:r>
      <w:r w:rsidRPr="00AE6E3C">
        <w:rPr>
          <w:rFonts w:ascii="Times New Roman" w:hAnsi="Times New Roman" w:cs="Times New Roman"/>
          <w:color w:val="000000"/>
          <w:kern w:val="0"/>
          <w:szCs w:val="18"/>
        </w:rPr>
        <w:t>Fluorescence (XRF) spectrometry on</w:t>
      </w:r>
      <w:bookmarkStart w:id="1" w:name="OLE_LINK2"/>
      <w:bookmarkStart w:id="2" w:name="OLE_LINK3"/>
      <w:r w:rsidRPr="00AE6E3C">
        <w:rPr>
          <w:rFonts w:ascii="Times New Roman" w:hAnsi="Times New Roman" w:cs="Times New Roman"/>
          <w:color w:val="000000"/>
          <w:kern w:val="0"/>
          <w:szCs w:val="18"/>
        </w:rPr>
        <w:t xml:space="preserve"> fused glass </w:t>
      </w:r>
      <w:r w:rsidR="002D169B" w:rsidRPr="00AE6E3C">
        <w:rPr>
          <w:rFonts w:ascii="Times New Roman" w:hAnsi="Times New Roman" w:cs="Times New Roman"/>
          <w:color w:val="000000"/>
          <w:kern w:val="0"/>
          <w:szCs w:val="18"/>
        </w:rPr>
        <w:t>discs</w:t>
      </w:r>
      <w:bookmarkEnd w:id="1"/>
      <w:bookmarkEnd w:id="2"/>
      <w:r w:rsidRPr="00AE6E3C">
        <w:rPr>
          <w:rFonts w:ascii="Times New Roman" w:hAnsi="Times New Roman" w:cs="Times New Roman"/>
          <w:color w:val="000000"/>
          <w:kern w:val="0"/>
          <w:szCs w:val="18"/>
        </w:rPr>
        <w:t xml:space="preserve"> using a </w:t>
      </w:r>
      <w:bookmarkStart w:id="3" w:name="OLE_LINK1"/>
      <w:r w:rsidRPr="00AE6E3C">
        <w:rPr>
          <w:rFonts w:ascii="Times New Roman" w:hAnsi="Times New Roman" w:cs="Times New Roman"/>
          <w:color w:val="000000"/>
          <w:kern w:val="0"/>
          <w:szCs w:val="18"/>
        </w:rPr>
        <w:t>PANalytical</w:t>
      </w:r>
      <w:r w:rsidRPr="00AE6E3C">
        <w:rPr>
          <w:rFonts w:ascii="Times New Roman" w:hAnsi="Times New Roman" w:cs="Times New Roman" w:hint="eastAsia"/>
          <w:color w:val="000000"/>
          <w:kern w:val="0"/>
          <w:szCs w:val="18"/>
        </w:rPr>
        <w:t xml:space="preserve"> </w:t>
      </w:r>
      <w:r w:rsidRPr="00AE6E3C">
        <w:rPr>
          <w:rFonts w:ascii="Times New Roman" w:hAnsi="Times New Roman" w:cs="Times New Roman"/>
          <w:color w:val="000000"/>
          <w:kern w:val="0"/>
          <w:szCs w:val="18"/>
        </w:rPr>
        <w:t>AXIOS Minerals</w:t>
      </w:r>
      <w:r w:rsidRPr="00AE6E3C">
        <w:rPr>
          <w:rFonts w:ascii="Times New Roman" w:hAnsi="Times New Roman" w:cs="Times New Roman" w:hint="eastAsia"/>
          <w:color w:val="000000"/>
          <w:kern w:val="0"/>
          <w:szCs w:val="18"/>
        </w:rPr>
        <w:t xml:space="preserve"> </w:t>
      </w:r>
      <w:r w:rsidRPr="00AE6E3C">
        <w:rPr>
          <w:rFonts w:ascii="Times New Roman" w:hAnsi="Times New Roman" w:cs="Times New Roman"/>
          <w:color w:val="000000"/>
          <w:kern w:val="0"/>
          <w:szCs w:val="18"/>
        </w:rPr>
        <w:t>instrument</w:t>
      </w:r>
      <w:bookmarkEnd w:id="3"/>
      <w:r w:rsidRPr="00AE6E3C">
        <w:rPr>
          <w:rFonts w:ascii="Times New Roman" w:hAnsi="Times New Roman" w:cs="Times New Roman"/>
          <w:color w:val="000000"/>
          <w:kern w:val="0"/>
          <w:szCs w:val="18"/>
        </w:rPr>
        <w:t xml:space="preserve"> at the Rock-Mineral Preparation and Analysis Lab, the Institute of Geology and Geophysics (IGG; Beijing),Chinese Academy of Sciences (CAS).</w:t>
      </w:r>
      <w:r w:rsidRPr="00AE6E3C">
        <w:rPr>
          <w:rFonts w:ascii="Times New Roman" w:hAnsi="Times New Roman" w:cs="Times New Roman" w:hint="eastAsia"/>
          <w:color w:val="000000"/>
          <w:kern w:val="0"/>
          <w:szCs w:val="18"/>
        </w:rPr>
        <w:t xml:space="preserve"> </w:t>
      </w:r>
      <w:bookmarkStart w:id="4" w:name="OLE_LINK5"/>
      <w:bookmarkStart w:id="5" w:name="OLE_LINK6"/>
      <w:r w:rsidR="00EE02B0" w:rsidRPr="00AE6E3C">
        <w:rPr>
          <w:rFonts w:ascii="Times New Roman" w:hAnsi="Times New Roman" w:cs="Times New Roman"/>
          <w:color w:val="000000"/>
          <w:kern w:val="0"/>
          <w:szCs w:val="18"/>
        </w:rPr>
        <w:t>The PANalytical</w:t>
      </w:r>
      <w:r w:rsidR="00EE02B0" w:rsidRPr="00AE6E3C">
        <w:rPr>
          <w:rFonts w:ascii="Times New Roman" w:hAnsi="Times New Roman" w:cs="Times New Roman" w:hint="eastAsia"/>
          <w:color w:val="000000"/>
          <w:kern w:val="0"/>
          <w:szCs w:val="18"/>
        </w:rPr>
        <w:t xml:space="preserve"> </w:t>
      </w:r>
      <w:r w:rsidR="00EE02B0" w:rsidRPr="00AE6E3C">
        <w:rPr>
          <w:rFonts w:ascii="Times New Roman" w:hAnsi="Times New Roman" w:cs="Times New Roman"/>
          <w:color w:val="000000"/>
          <w:kern w:val="0"/>
          <w:szCs w:val="18"/>
        </w:rPr>
        <w:t xml:space="preserve">AXIOS Minerals </w:t>
      </w:r>
      <w:r w:rsidR="000D1965" w:rsidRPr="00AE6E3C">
        <w:rPr>
          <w:rFonts w:ascii="Times New Roman" w:hAnsi="Times New Roman" w:cs="Times New Roman"/>
          <w:color w:val="000000"/>
          <w:kern w:val="0"/>
          <w:szCs w:val="18"/>
        </w:rPr>
        <w:t xml:space="preserve">equipped with a Rh anode X-ray tube and 4 kW excitation power </w:t>
      </w:r>
      <w:r w:rsidR="00EE02B0" w:rsidRPr="00AE6E3C">
        <w:rPr>
          <w:rFonts w:ascii="Times New Roman" w:hAnsi="Times New Roman" w:cs="Times New Roman"/>
          <w:color w:val="000000"/>
          <w:kern w:val="0"/>
          <w:szCs w:val="18"/>
        </w:rPr>
        <w:t>is a sequential instrument with a single goniometer based measuring channel covering the complete elemental measurement range from F to U in the concentration range from 1.0 ppm to % level, determined in vacuum media</w:t>
      </w:r>
      <w:r w:rsidR="00BD653C" w:rsidRPr="00AE6E3C">
        <w:rPr>
          <w:rFonts w:ascii="Times New Roman" w:hAnsi="Times New Roman" w:cs="Times New Roman" w:hint="eastAsia"/>
          <w:color w:val="000000"/>
          <w:kern w:val="0"/>
          <w:szCs w:val="18"/>
        </w:rPr>
        <w:t xml:space="preserve"> </w:t>
      </w:r>
      <w:r w:rsidR="00BD653C" w:rsidRPr="00AE6E3C">
        <w:rPr>
          <w:rFonts w:ascii="Times New Roman" w:hAnsi="Times New Roman" w:cs="Times New Roman"/>
          <w:szCs w:val="18"/>
          <w:lang w:val="en"/>
        </w:rPr>
        <w:t>[1]</w:t>
      </w:r>
      <w:r w:rsidR="00EE02B0" w:rsidRPr="00AE6E3C">
        <w:rPr>
          <w:rFonts w:ascii="Times New Roman" w:hAnsi="Times New Roman" w:cs="Times New Roman"/>
          <w:color w:val="000000"/>
          <w:kern w:val="0"/>
          <w:szCs w:val="18"/>
        </w:rPr>
        <w:t>.</w:t>
      </w:r>
    </w:p>
    <w:p w:rsidR="006434AC" w:rsidRPr="00AE6E3C" w:rsidRDefault="00B03750" w:rsidP="00CF4218">
      <w:pPr>
        <w:pStyle w:val="a5"/>
        <w:numPr>
          <w:ilvl w:val="0"/>
          <w:numId w:val="1"/>
        </w:numPr>
        <w:autoSpaceDE w:val="0"/>
        <w:autoSpaceDN w:val="0"/>
        <w:adjustRightInd w:val="0"/>
        <w:spacing w:line="360" w:lineRule="auto"/>
        <w:ind w:firstLineChars="0"/>
        <w:jc w:val="left"/>
        <w:rPr>
          <w:rFonts w:ascii="Times New Roman" w:hAnsi="Times New Roman" w:cs="Times New Roman"/>
          <w:color w:val="000000"/>
          <w:kern w:val="0"/>
          <w:szCs w:val="18"/>
        </w:rPr>
      </w:pPr>
      <w:r w:rsidRPr="00AE6E3C">
        <w:rPr>
          <w:rFonts w:ascii="Times New Roman" w:hAnsi="Times New Roman" w:cs="Times New Roman"/>
          <w:color w:val="000000"/>
          <w:kern w:val="0"/>
          <w:szCs w:val="18"/>
        </w:rPr>
        <w:t>Glass discs for</w:t>
      </w:r>
      <w:r w:rsidR="006434AC" w:rsidRPr="00AE6E3C">
        <w:rPr>
          <w:rFonts w:ascii="Times New Roman" w:hAnsi="Times New Roman" w:cs="Times New Roman"/>
          <w:szCs w:val="18"/>
        </w:rPr>
        <w:t xml:space="preserve"> WD-XRF analysis</w:t>
      </w:r>
      <w:r w:rsidRPr="00AE6E3C">
        <w:rPr>
          <w:rFonts w:ascii="Times New Roman" w:hAnsi="Times New Roman" w:cs="Times New Roman"/>
          <w:color w:val="000000"/>
          <w:kern w:val="0"/>
          <w:szCs w:val="18"/>
        </w:rPr>
        <w:t xml:space="preserve"> were prepared by fusion of </w:t>
      </w:r>
      <w:r w:rsidR="00257707" w:rsidRPr="00AE6E3C">
        <w:rPr>
          <w:rFonts w:ascii="Times New Roman" w:hAnsi="Times New Roman" w:cs="Times New Roman"/>
          <w:color w:val="000000"/>
          <w:kern w:val="0"/>
          <w:szCs w:val="18"/>
        </w:rPr>
        <w:t>0.</w:t>
      </w:r>
      <w:r w:rsidR="00590228" w:rsidRPr="00AE6E3C">
        <w:rPr>
          <w:rFonts w:ascii="Times New Roman" w:hAnsi="Times New Roman" w:cs="Times New Roman" w:hint="eastAsia"/>
          <w:color w:val="000000"/>
          <w:kern w:val="0"/>
          <w:szCs w:val="18"/>
        </w:rPr>
        <w:t>6</w:t>
      </w:r>
      <w:r w:rsidRPr="00AE6E3C">
        <w:rPr>
          <w:rFonts w:ascii="Times New Roman" w:hAnsi="Times New Roman" w:cs="Times New Roman"/>
          <w:color w:val="000000"/>
          <w:kern w:val="0"/>
          <w:szCs w:val="18"/>
        </w:rPr>
        <w:t xml:space="preserve"> g of the standard sample with </w:t>
      </w:r>
      <w:r w:rsidR="00590228" w:rsidRPr="00AE6E3C">
        <w:rPr>
          <w:rFonts w:ascii="Times New Roman" w:hAnsi="Times New Roman" w:cs="Times New Roman" w:hint="eastAsia"/>
          <w:color w:val="000000"/>
          <w:kern w:val="0"/>
          <w:szCs w:val="18"/>
        </w:rPr>
        <w:t>6</w:t>
      </w:r>
      <w:r w:rsidRPr="00AE6E3C">
        <w:rPr>
          <w:rFonts w:ascii="Times New Roman" w:hAnsi="Times New Roman" w:cs="Times New Roman"/>
          <w:color w:val="000000"/>
          <w:kern w:val="0"/>
          <w:szCs w:val="18"/>
        </w:rPr>
        <w:t xml:space="preserve">.0 g of </w:t>
      </w:r>
      <w:bookmarkStart w:id="6" w:name="OLE_LINK4"/>
      <w:r w:rsidRPr="00AE6E3C">
        <w:rPr>
          <w:rFonts w:ascii="Times New Roman" w:hAnsi="Times New Roman" w:cs="Times New Roman"/>
          <w:color w:val="000000"/>
          <w:kern w:val="0"/>
          <w:szCs w:val="18"/>
        </w:rPr>
        <w:t>li</w:t>
      </w:r>
      <w:r w:rsidR="00904607" w:rsidRPr="00AE6E3C">
        <w:rPr>
          <w:rFonts w:ascii="Times New Roman" w:hAnsi="Times New Roman" w:cs="Times New Roman"/>
          <w:color w:val="000000"/>
          <w:kern w:val="0"/>
          <w:szCs w:val="18"/>
        </w:rPr>
        <w:t xml:space="preserve">thium </w:t>
      </w:r>
      <w:r w:rsidR="00257707" w:rsidRPr="00AE6E3C">
        <w:rPr>
          <w:rFonts w:ascii="Times New Roman" w:hAnsi="Times New Roman" w:cs="Times New Roman"/>
          <w:color w:val="000000"/>
          <w:kern w:val="0"/>
          <w:szCs w:val="18"/>
        </w:rPr>
        <w:t>tetraborate</w:t>
      </w:r>
      <w:bookmarkEnd w:id="6"/>
      <w:r w:rsidR="00257707" w:rsidRPr="00AE6E3C">
        <w:rPr>
          <w:rFonts w:ascii="Times New Roman" w:hAnsi="Times New Roman" w:cs="Times New Roman"/>
          <w:color w:val="000000"/>
          <w:kern w:val="0"/>
          <w:szCs w:val="18"/>
        </w:rPr>
        <w:t xml:space="preserve"> </w:t>
      </w:r>
      <w:r w:rsidR="00904607" w:rsidRPr="00AE6E3C">
        <w:rPr>
          <w:rFonts w:ascii="Times New Roman" w:hAnsi="Times New Roman" w:cs="Times New Roman"/>
          <w:color w:val="000000"/>
          <w:kern w:val="0"/>
          <w:szCs w:val="18"/>
        </w:rPr>
        <w:t>:</w:t>
      </w:r>
      <w:r w:rsidR="00257707" w:rsidRPr="00AE6E3C">
        <w:rPr>
          <w:rFonts w:ascii="Times New Roman" w:hAnsi="Times New Roman" w:cs="Times New Roman"/>
          <w:color w:val="000000"/>
          <w:kern w:val="0"/>
          <w:szCs w:val="18"/>
        </w:rPr>
        <w:t xml:space="preserve"> metaborate</w:t>
      </w:r>
      <w:r w:rsidR="00904607" w:rsidRPr="00AE6E3C">
        <w:rPr>
          <w:rFonts w:ascii="Times New Roman" w:hAnsi="Times New Roman" w:cs="Times New Roman"/>
          <w:color w:val="000000"/>
          <w:kern w:val="0"/>
          <w:szCs w:val="18"/>
        </w:rPr>
        <w:t xml:space="preserve"> (</w:t>
      </w:r>
      <w:r w:rsidR="00257707" w:rsidRPr="00AE6E3C">
        <w:rPr>
          <w:rFonts w:ascii="Times New Roman" w:hAnsi="Times New Roman" w:cs="Times New Roman" w:hint="eastAsia"/>
          <w:color w:val="000000"/>
          <w:kern w:val="0"/>
          <w:szCs w:val="18"/>
        </w:rPr>
        <w:t>2</w:t>
      </w:r>
      <w:r w:rsidRPr="00AE6E3C">
        <w:rPr>
          <w:rFonts w:ascii="Times New Roman" w:hAnsi="Times New Roman" w:cs="Times New Roman"/>
          <w:color w:val="000000"/>
          <w:kern w:val="0"/>
          <w:szCs w:val="18"/>
        </w:rPr>
        <w:t>:</w:t>
      </w:r>
      <w:r w:rsidR="00257707" w:rsidRPr="00AE6E3C">
        <w:rPr>
          <w:rFonts w:ascii="Times New Roman" w:hAnsi="Times New Roman" w:cs="Times New Roman"/>
          <w:color w:val="000000"/>
          <w:kern w:val="0"/>
          <w:szCs w:val="18"/>
        </w:rPr>
        <w:t xml:space="preserve">1) (Lithium borates 67-33, </w:t>
      </w:r>
      <w:r w:rsidR="00257707" w:rsidRPr="00AE6E3C">
        <w:rPr>
          <w:rFonts w:ascii="Times New Roman" w:hAnsi="Times New Roman" w:cs="Times New Roman" w:hint="eastAsia"/>
          <w:color w:val="000000"/>
          <w:kern w:val="0"/>
          <w:szCs w:val="18"/>
        </w:rPr>
        <w:t>Claisse</w:t>
      </w:r>
      <w:r w:rsidR="00257707" w:rsidRPr="00AE6E3C">
        <w:rPr>
          <w:rFonts w:ascii="Times New Roman" w:hAnsi="Times New Roman" w:cs="Times New Roman"/>
          <w:color w:val="000000"/>
          <w:kern w:val="0"/>
          <w:szCs w:val="18"/>
        </w:rPr>
        <w:t>, Canada</w:t>
      </w:r>
      <w:r w:rsidRPr="00AE6E3C">
        <w:rPr>
          <w:rFonts w:ascii="Times New Roman" w:hAnsi="Times New Roman" w:cs="Times New Roman"/>
          <w:color w:val="000000"/>
          <w:kern w:val="0"/>
          <w:szCs w:val="18"/>
        </w:rPr>
        <w:t xml:space="preserve">), using Pt-Au crucibles and moulds employing </w:t>
      </w:r>
      <w:r w:rsidR="00481A01" w:rsidRPr="00AE6E3C">
        <w:rPr>
          <w:rFonts w:ascii="Times New Roman" w:hAnsi="Times New Roman" w:cs="Times New Roman" w:hint="eastAsia"/>
          <w:color w:val="000000"/>
          <w:kern w:val="0"/>
          <w:szCs w:val="18"/>
        </w:rPr>
        <w:t>e</w:t>
      </w:r>
      <w:r w:rsidR="00481A01" w:rsidRPr="00AE6E3C">
        <w:rPr>
          <w:rFonts w:ascii="Times New Roman" w:hAnsi="Times New Roman" w:cs="Times New Roman"/>
          <w:color w:val="000000"/>
          <w:kern w:val="0"/>
          <w:szCs w:val="18"/>
        </w:rPr>
        <w:t xml:space="preserve">lectric </w:t>
      </w:r>
      <w:r w:rsidRPr="00AE6E3C">
        <w:rPr>
          <w:rFonts w:ascii="Times New Roman" w:hAnsi="Times New Roman" w:cs="Times New Roman"/>
          <w:color w:val="000000"/>
          <w:kern w:val="0"/>
          <w:szCs w:val="18"/>
        </w:rPr>
        <w:t>fusion equipment</w:t>
      </w:r>
      <w:r w:rsidR="00481A01" w:rsidRPr="00AE6E3C">
        <w:rPr>
          <w:rFonts w:ascii="Times New Roman" w:hAnsi="Times New Roman" w:cs="Times New Roman" w:hint="eastAsia"/>
          <w:color w:val="000000"/>
          <w:kern w:val="0"/>
          <w:szCs w:val="18"/>
        </w:rPr>
        <w:t xml:space="preserve"> </w:t>
      </w:r>
      <w:r w:rsidRPr="00AE6E3C">
        <w:rPr>
          <w:rFonts w:ascii="Times New Roman" w:hAnsi="Times New Roman" w:cs="Times New Roman"/>
          <w:color w:val="000000"/>
          <w:kern w:val="0"/>
          <w:szCs w:val="18"/>
        </w:rPr>
        <w:t>(</w:t>
      </w:r>
      <w:r w:rsidR="00723528" w:rsidRPr="00AE6E3C">
        <w:rPr>
          <w:rFonts w:ascii="Times New Roman" w:hAnsi="Times New Roman" w:cs="Times New Roman"/>
          <w:color w:val="000000"/>
          <w:kern w:val="0"/>
          <w:szCs w:val="18"/>
        </w:rPr>
        <w:t xml:space="preserve">Claisse Fluxy, Corporation Scientific Claisse Inc., Quebec, Canada) </w:t>
      </w:r>
      <w:r w:rsidR="00910B84" w:rsidRPr="00AE6E3C">
        <w:rPr>
          <w:rFonts w:ascii="Times New Roman" w:hAnsi="Times New Roman" w:cs="Times New Roman"/>
          <w:szCs w:val="18"/>
          <w:lang w:val="en"/>
        </w:rPr>
        <w:t>[2]</w:t>
      </w:r>
      <w:r w:rsidRPr="00AE6E3C">
        <w:rPr>
          <w:rFonts w:ascii="Times New Roman" w:hAnsi="Times New Roman" w:cs="Times New Roman"/>
          <w:color w:val="000000"/>
          <w:kern w:val="0"/>
          <w:szCs w:val="18"/>
        </w:rPr>
        <w:t xml:space="preserve">. </w:t>
      </w:r>
    </w:p>
    <w:p w:rsidR="00594515" w:rsidRPr="00AE6E3C" w:rsidRDefault="007A139B" w:rsidP="00CF4218">
      <w:pPr>
        <w:pStyle w:val="a5"/>
        <w:numPr>
          <w:ilvl w:val="0"/>
          <w:numId w:val="1"/>
        </w:numPr>
        <w:autoSpaceDE w:val="0"/>
        <w:autoSpaceDN w:val="0"/>
        <w:adjustRightInd w:val="0"/>
        <w:spacing w:line="360" w:lineRule="auto"/>
        <w:ind w:firstLineChars="0"/>
        <w:jc w:val="left"/>
        <w:rPr>
          <w:rFonts w:ascii="Times New Roman" w:hAnsi="Times New Roman" w:cs="Times New Roman"/>
          <w:color w:val="000000"/>
          <w:kern w:val="0"/>
          <w:szCs w:val="18"/>
        </w:rPr>
      </w:pPr>
      <w:r w:rsidRPr="00AE6E3C">
        <w:rPr>
          <w:rFonts w:ascii="Times New Roman" w:hAnsi="Times New Roman" w:cs="Times New Roman"/>
          <w:color w:val="000000"/>
          <w:kern w:val="0"/>
          <w:szCs w:val="18"/>
        </w:rPr>
        <w:t>Loss on ignition (LOI) was measured as the weight loss of the samples, which was obtained independently by igniting 0.5 g dry sample aliquot in a porcelain crucible for 1.5 h at 1000 °C in a muffle furnace</w:t>
      </w:r>
      <w:r w:rsidRPr="00AE6E3C">
        <w:rPr>
          <w:rFonts w:ascii="Times New Roman" w:hAnsi="Times New Roman" w:cs="Times New Roman" w:hint="eastAsia"/>
          <w:color w:val="000000"/>
          <w:kern w:val="0"/>
          <w:szCs w:val="18"/>
        </w:rPr>
        <w:t xml:space="preserve"> </w:t>
      </w:r>
      <w:r w:rsidRPr="00AE6E3C">
        <w:rPr>
          <w:rFonts w:ascii="Times New Roman" w:hAnsi="Times New Roman" w:cs="Times New Roman"/>
          <w:szCs w:val="18"/>
          <w:lang w:val="en"/>
        </w:rPr>
        <w:t>[1]</w:t>
      </w:r>
      <w:r w:rsidR="0022489B" w:rsidRPr="00AE6E3C">
        <w:rPr>
          <w:rFonts w:ascii="Times New Roman" w:hAnsi="Times New Roman" w:cs="Times New Roman"/>
          <w:color w:val="000000"/>
          <w:kern w:val="0"/>
          <w:szCs w:val="18"/>
        </w:rPr>
        <w:t>.</w:t>
      </w:r>
      <w:bookmarkEnd w:id="4"/>
      <w:bookmarkEnd w:id="5"/>
      <w:r w:rsidR="0022489B" w:rsidRPr="00AE6E3C">
        <w:rPr>
          <w:rFonts w:ascii="Times New Roman" w:hAnsi="Times New Roman" w:cs="Times New Roman"/>
          <w:color w:val="000000"/>
          <w:kern w:val="0"/>
          <w:szCs w:val="18"/>
        </w:rPr>
        <w:t xml:space="preserve"> </w:t>
      </w:r>
    </w:p>
    <w:p w:rsidR="00594515" w:rsidRPr="00AE6E3C" w:rsidRDefault="00594515" w:rsidP="00CF4218">
      <w:pPr>
        <w:pStyle w:val="a5"/>
        <w:numPr>
          <w:ilvl w:val="0"/>
          <w:numId w:val="1"/>
        </w:numPr>
        <w:spacing w:line="360" w:lineRule="auto"/>
        <w:ind w:firstLineChars="0"/>
        <w:rPr>
          <w:rFonts w:ascii="Times New Roman" w:hAnsi="Times New Roman" w:cs="Times New Roman"/>
          <w:szCs w:val="18"/>
          <w:lang w:val="en"/>
        </w:rPr>
      </w:pPr>
      <w:r w:rsidRPr="00AE6E3C">
        <w:rPr>
          <w:rFonts w:ascii="Times New Roman" w:hAnsi="Times New Roman" w:cs="Times New Roman"/>
          <w:szCs w:val="18"/>
          <w:lang w:val="en"/>
        </w:rPr>
        <w:t xml:space="preserve">The spectrometer was calibrated after measuring intensities in the following fifty international reference materials: GBW03102, GBW03102, GBW03113, GBW03116, GBW03134, GBW07101, GBW07102, GBW07103, GBW07104, GBW07105, GBW07106, GBW07107, GBW07108, GBW07109, GBW07110, GBW07111, GBW07112, GBW07113, GBW07114, GBW07212, GBW07309, GBW07310, GBW07311, GBW07312, GBW07401, GBW07402, GBW07403, GBW07404, GBW07405, GBW07406, GBW07407, GBW07408 (IGGE, China); AGV-2, BCR-2, BIR-1a, BHVO-2, DNC-1a, DTS-2B (USGS, USA); JGB-2a, JP-1, JH-1a, JG-2, JB-2 (GSJ, Japan); AN-G, BE-N, PM-S, WS-E (GIT-IWG, Groupe International de Travail-International Working Group); </w:t>
      </w:r>
      <w:r w:rsidR="00771AF4">
        <w:rPr>
          <w:rFonts w:ascii="Times New Roman" w:hAnsi="Times New Roman" w:cs="Times New Roman"/>
          <w:szCs w:val="18"/>
          <w:lang w:val="en"/>
        </w:rPr>
        <w:t xml:space="preserve">DR-N, </w:t>
      </w:r>
      <w:r w:rsidR="00771AF4" w:rsidRPr="00AE6E3C">
        <w:rPr>
          <w:rFonts w:ascii="Times New Roman" w:hAnsi="Times New Roman" w:cs="Times New Roman"/>
          <w:szCs w:val="18"/>
          <w:lang w:val="en"/>
        </w:rPr>
        <w:t>UB-N (ANRT, Paris);</w:t>
      </w:r>
      <w:r w:rsidR="00771AF4">
        <w:rPr>
          <w:rFonts w:ascii="Times New Roman" w:hAnsi="Times New Roman" w:cs="Times New Roman"/>
          <w:szCs w:val="18"/>
          <w:lang w:val="en"/>
        </w:rPr>
        <w:t xml:space="preserve"> Mica-Fe </w:t>
      </w:r>
      <w:r w:rsidR="00771AF4" w:rsidRPr="00392DD9">
        <w:rPr>
          <w:rFonts w:ascii="Times New Roman" w:hAnsi="Times New Roman" w:cs="Times New Roman"/>
          <w:szCs w:val="18"/>
          <w:lang w:val="en"/>
        </w:rPr>
        <w:t xml:space="preserve">(CRPG, Centre de Recherches Petrographiques et Geochimiques); </w:t>
      </w:r>
      <w:r w:rsidRPr="00AE6E3C">
        <w:rPr>
          <w:rFonts w:ascii="Times New Roman" w:hAnsi="Times New Roman" w:cs="Times New Roman"/>
          <w:szCs w:val="18"/>
          <w:lang w:val="en"/>
        </w:rPr>
        <w:t>The criteria to select these samples were the required interval of concentration</w:t>
      </w:r>
      <w:r w:rsidR="00BD653C" w:rsidRPr="00AE6E3C">
        <w:rPr>
          <w:rFonts w:ascii="Times New Roman" w:hAnsi="Times New Roman" w:cs="Times New Roman" w:hint="eastAsia"/>
          <w:szCs w:val="18"/>
          <w:lang w:val="en"/>
        </w:rPr>
        <w:t xml:space="preserve"> </w:t>
      </w:r>
      <w:r w:rsidR="00BD653C" w:rsidRPr="00AE6E3C">
        <w:rPr>
          <w:rFonts w:ascii="Times New Roman" w:hAnsi="Times New Roman" w:cs="Times New Roman"/>
          <w:szCs w:val="18"/>
          <w:lang w:val="en"/>
        </w:rPr>
        <w:t>[</w:t>
      </w:r>
      <w:r w:rsidR="00BD653C" w:rsidRPr="00AE6E3C">
        <w:rPr>
          <w:rFonts w:ascii="Times New Roman" w:hAnsi="Times New Roman" w:cs="Times New Roman" w:hint="eastAsia"/>
          <w:szCs w:val="18"/>
          <w:lang w:val="en"/>
        </w:rPr>
        <w:t>2</w:t>
      </w:r>
      <w:r w:rsidR="00BD653C" w:rsidRPr="00AE6E3C">
        <w:rPr>
          <w:rFonts w:ascii="Times New Roman" w:hAnsi="Times New Roman" w:cs="Times New Roman"/>
          <w:szCs w:val="18"/>
          <w:lang w:val="en"/>
        </w:rPr>
        <w:t>]</w:t>
      </w:r>
      <w:r w:rsidRPr="00AE6E3C">
        <w:rPr>
          <w:rFonts w:ascii="Times New Roman" w:hAnsi="Times New Roman" w:cs="Times New Roman"/>
          <w:szCs w:val="18"/>
          <w:lang w:val="en"/>
        </w:rPr>
        <w:t>.</w:t>
      </w:r>
    </w:p>
    <w:p w:rsidR="000B10DF" w:rsidRPr="00AE6E3C" w:rsidRDefault="00594515" w:rsidP="00CF4218">
      <w:pPr>
        <w:pStyle w:val="a5"/>
        <w:numPr>
          <w:ilvl w:val="0"/>
          <w:numId w:val="1"/>
        </w:numPr>
        <w:autoSpaceDE w:val="0"/>
        <w:autoSpaceDN w:val="0"/>
        <w:adjustRightInd w:val="0"/>
        <w:spacing w:line="360" w:lineRule="auto"/>
        <w:ind w:firstLineChars="0"/>
        <w:jc w:val="left"/>
        <w:rPr>
          <w:rFonts w:ascii="Times New Roman" w:hAnsi="Times New Roman" w:cs="Times New Roman"/>
          <w:color w:val="000000" w:themeColor="text1"/>
          <w:szCs w:val="18"/>
        </w:rPr>
      </w:pPr>
      <w:r w:rsidRPr="00AE6E3C">
        <w:rPr>
          <w:rFonts w:ascii="Times New Roman" w:hAnsi="Times New Roman" w:cs="Times New Roman"/>
          <w:color w:val="000000"/>
          <w:kern w:val="0"/>
          <w:szCs w:val="18"/>
        </w:rPr>
        <w:t xml:space="preserve">GSR-1, GSR-2, and GSR-3 are used to monitor </w:t>
      </w:r>
      <w:r w:rsidR="003F5C98" w:rsidRPr="00AE6E3C">
        <w:rPr>
          <w:rFonts w:ascii="Times New Roman" w:hAnsi="Times New Roman" w:cs="Times New Roman" w:hint="eastAsia"/>
          <w:color w:val="000000"/>
          <w:kern w:val="0"/>
          <w:szCs w:val="18"/>
        </w:rPr>
        <w:t xml:space="preserve">the </w:t>
      </w:r>
      <w:r w:rsidRPr="00AE6E3C">
        <w:rPr>
          <w:rFonts w:ascii="Times New Roman" w:hAnsi="Times New Roman" w:cs="Times New Roman"/>
          <w:color w:val="000000"/>
          <w:kern w:val="0"/>
          <w:szCs w:val="18"/>
        </w:rPr>
        <w:t>preparation process and instrument status.</w:t>
      </w:r>
      <w:r w:rsidR="003E685F" w:rsidRPr="00AE6E3C">
        <w:rPr>
          <w:rFonts w:ascii="Times New Roman" w:hAnsi="Times New Roman" w:cs="Times New Roman"/>
          <w:color w:val="000000" w:themeColor="text1"/>
          <w:szCs w:val="18"/>
        </w:rPr>
        <w:t xml:space="preserve"> </w:t>
      </w:r>
    </w:p>
    <w:p w:rsidR="000C29A9" w:rsidRDefault="000C29A9" w:rsidP="00CF4218">
      <w:pPr>
        <w:pStyle w:val="a5"/>
        <w:numPr>
          <w:ilvl w:val="0"/>
          <w:numId w:val="1"/>
        </w:numPr>
        <w:autoSpaceDE w:val="0"/>
        <w:autoSpaceDN w:val="0"/>
        <w:adjustRightInd w:val="0"/>
        <w:spacing w:line="360" w:lineRule="auto"/>
        <w:ind w:firstLineChars="0"/>
        <w:jc w:val="left"/>
        <w:rPr>
          <w:rFonts w:ascii="Times New Roman" w:hAnsi="Times New Roman" w:cs="Times New Roman"/>
          <w:color w:val="000000"/>
          <w:kern w:val="0"/>
          <w:szCs w:val="18"/>
        </w:rPr>
      </w:pPr>
      <w:r w:rsidRPr="00AE6E3C">
        <w:rPr>
          <w:rFonts w:ascii="Times New Roman" w:hAnsi="Times New Roman" w:cs="Times New Roman"/>
          <w:color w:val="000000"/>
          <w:kern w:val="0"/>
          <w:szCs w:val="18"/>
        </w:rPr>
        <w:lastRenderedPageBreak/>
        <w:t>Ferrous iron was determi</w:t>
      </w:r>
      <w:r w:rsidRPr="00AE6E3C">
        <w:rPr>
          <w:rFonts w:ascii="Times New Roman" w:hAnsi="Times New Roman" w:cs="Times New Roman"/>
          <w:color w:val="000000" w:themeColor="text1"/>
          <w:kern w:val="0"/>
          <w:szCs w:val="18"/>
        </w:rPr>
        <w:t>ned by Xue's titration method</w:t>
      </w:r>
      <w:r w:rsidR="00CF4218" w:rsidRPr="00AE6E3C">
        <w:rPr>
          <w:rFonts w:ascii="Times New Roman" w:hAnsi="Times New Roman" w:cs="Times New Roman"/>
          <w:color w:val="000000" w:themeColor="text1"/>
          <w:kern w:val="0"/>
          <w:szCs w:val="18"/>
        </w:rPr>
        <w:t xml:space="preserve">. </w:t>
      </w:r>
      <w:r w:rsidR="00CF4218" w:rsidRPr="00AE6E3C">
        <w:rPr>
          <w:rFonts w:ascii="Times New Roman" w:hAnsi="Times New Roman" w:cs="Times New Roman"/>
          <w:color w:val="000000" w:themeColor="text1"/>
          <w:szCs w:val="18"/>
        </w:rPr>
        <w:t>About 0.2 g of sample powder was weighed by determining the difference in the PTFE vessel, and then, the vessel was subjected to a vacuum to remove gases and then refilled with inert gas three times to ensure an inert atmosphere. Next, near-boiling 50% H</w:t>
      </w:r>
      <w:r w:rsidR="00CF4218" w:rsidRPr="00AE6E3C">
        <w:rPr>
          <w:rFonts w:ascii="Times New Roman" w:hAnsi="Times New Roman" w:cs="Times New Roman"/>
          <w:color w:val="000000" w:themeColor="text1"/>
          <w:szCs w:val="18"/>
          <w:vertAlign w:val="subscript"/>
        </w:rPr>
        <w:t>2</w:t>
      </w:r>
      <w:r w:rsidR="00CF4218" w:rsidRPr="00AE6E3C">
        <w:rPr>
          <w:rFonts w:ascii="Times New Roman" w:hAnsi="Times New Roman" w:cs="Times New Roman"/>
          <w:color w:val="000000" w:themeColor="text1"/>
          <w:szCs w:val="18"/>
        </w:rPr>
        <w:t>SO</w:t>
      </w:r>
      <w:r w:rsidR="00CF4218" w:rsidRPr="00AE6E3C">
        <w:rPr>
          <w:rFonts w:ascii="Times New Roman" w:hAnsi="Times New Roman" w:cs="Times New Roman"/>
          <w:color w:val="000000" w:themeColor="text1"/>
          <w:szCs w:val="18"/>
          <w:vertAlign w:val="subscript"/>
        </w:rPr>
        <w:t>4</w:t>
      </w:r>
      <w:r w:rsidR="00CF4218" w:rsidRPr="00AE6E3C">
        <w:rPr>
          <w:rFonts w:ascii="Times New Roman" w:hAnsi="Times New Roman" w:cs="Times New Roman"/>
          <w:color w:val="000000" w:themeColor="text1"/>
          <w:szCs w:val="18"/>
        </w:rPr>
        <w:t xml:space="preserve"> (10 mL) and HF (5 mL) were added to the digestion vessel, then heated under</w:t>
      </w:r>
      <w:bookmarkStart w:id="7" w:name="OLE_LINK78"/>
      <w:r w:rsidR="00CF4218" w:rsidRPr="00AE6E3C">
        <w:rPr>
          <w:rFonts w:ascii="Times New Roman" w:hAnsi="Times New Roman" w:cs="Times New Roman"/>
          <w:color w:val="000000" w:themeColor="text1"/>
          <w:szCs w:val="18"/>
        </w:rPr>
        <w:t xml:space="preserve"> 170 °C</w:t>
      </w:r>
      <w:bookmarkEnd w:id="7"/>
      <w:r w:rsidR="00CF4218" w:rsidRPr="00AE6E3C">
        <w:rPr>
          <w:rFonts w:ascii="Times New Roman" w:hAnsi="Times New Roman" w:cs="Times New Roman"/>
          <w:color w:val="000000" w:themeColor="text1"/>
          <w:szCs w:val="18"/>
        </w:rPr>
        <w:t xml:space="preserve"> for 10 min. Subsequently, saturated boric acid (50 mL) was added. Finally, the resultant mixture was titrated with standard KMnO</w:t>
      </w:r>
      <w:r w:rsidR="00CF4218" w:rsidRPr="00AE6E3C">
        <w:rPr>
          <w:rFonts w:ascii="Times New Roman" w:hAnsi="Times New Roman" w:cs="Times New Roman"/>
          <w:color w:val="000000" w:themeColor="text1"/>
          <w:szCs w:val="18"/>
          <w:vertAlign w:val="subscript"/>
        </w:rPr>
        <w:t>4</w:t>
      </w:r>
      <w:r w:rsidR="00CF4218" w:rsidRPr="00AE6E3C">
        <w:rPr>
          <w:rFonts w:ascii="Times New Roman" w:hAnsi="Times New Roman" w:cs="Times New Roman"/>
          <w:color w:val="000000" w:themeColor="text1"/>
          <w:szCs w:val="18"/>
        </w:rPr>
        <w:t xml:space="preserve"> solution. The titration speed was adjusted according to the rate at which the permanganate color disappeared until one drop produced a faint pink color that persisted for 30 s. The </w:t>
      </w:r>
      <w:bookmarkStart w:id="8" w:name="OLE_LINK79"/>
      <w:bookmarkStart w:id="9" w:name="OLE_LINK80"/>
      <w:r w:rsidR="00CF4218" w:rsidRPr="00AE6E3C">
        <w:rPr>
          <w:rFonts w:ascii="Times New Roman" w:hAnsi="Times New Roman" w:cs="Times New Roman"/>
          <w:color w:val="000000" w:themeColor="text1"/>
          <w:szCs w:val="18"/>
        </w:rPr>
        <w:t>final small drops to reach the end-point were flushed from the microburet</w:t>
      </w:r>
      <w:r w:rsidR="00CF4218" w:rsidRPr="00AE6E3C">
        <w:rPr>
          <w:rFonts w:ascii="Times New Roman" w:hAnsi="Times New Roman" w:cs="Times New Roman" w:hint="eastAsia"/>
          <w:color w:val="000000" w:themeColor="text1"/>
          <w:szCs w:val="18"/>
        </w:rPr>
        <w:t>te</w:t>
      </w:r>
      <w:r w:rsidR="00CF4218" w:rsidRPr="00AE6E3C">
        <w:rPr>
          <w:rFonts w:ascii="Times New Roman" w:hAnsi="Times New Roman" w:cs="Times New Roman"/>
          <w:color w:val="000000" w:themeColor="text1"/>
          <w:szCs w:val="18"/>
        </w:rPr>
        <w:t xml:space="preserve"> tip with a wash bottle </w:t>
      </w:r>
      <w:bookmarkEnd w:id="8"/>
      <w:bookmarkEnd w:id="9"/>
      <w:r w:rsidR="00CF4218" w:rsidRPr="00AE6E3C">
        <w:rPr>
          <w:rFonts w:ascii="Times New Roman" w:hAnsi="Times New Roman" w:cs="Times New Roman"/>
          <w:color w:val="000000" w:themeColor="text1"/>
          <w:szCs w:val="18"/>
        </w:rPr>
        <w:t xml:space="preserve">into the digestion vessels. The microburet was read at the top </w:t>
      </w:r>
      <w:r w:rsidR="00CF4218" w:rsidRPr="00AE6E3C">
        <w:rPr>
          <w:rFonts w:ascii="Times New Roman" w:hAnsi="Times New Roman" w:cs="Times New Roman" w:hint="eastAsia"/>
          <w:color w:val="000000" w:themeColor="text1"/>
          <w:szCs w:val="18"/>
        </w:rPr>
        <w:t>level</w:t>
      </w:r>
      <w:r w:rsidR="00CF4218" w:rsidRPr="00AE6E3C">
        <w:rPr>
          <w:rFonts w:ascii="Times New Roman" w:hAnsi="Times New Roman" w:cs="Times New Roman"/>
          <w:color w:val="000000" w:themeColor="text1"/>
          <w:szCs w:val="18"/>
        </w:rPr>
        <w:t xml:space="preserve"> of the meniscus. The whole process during sample digestion and titration was carried out under inert atmosphere to prevent oxidation of ferrous material. Blank samples were also prepared, following the same procedure in the absence of the sample.</w:t>
      </w:r>
      <w:r w:rsidR="00276461" w:rsidRPr="00AE6E3C">
        <w:rPr>
          <w:rFonts w:ascii="Times New Roman" w:hAnsi="Times New Roman" w:cs="Times New Roman"/>
          <w:color w:val="000000" w:themeColor="text1"/>
          <w:kern w:val="0"/>
          <w:szCs w:val="18"/>
        </w:rPr>
        <w:t xml:space="preserve"> [</w:t>
      </w:r>
      <w:r w:rsidR="006619B3" w:rsidRPr="00AE6E3C">
        <w:rPr>
          <w:rFonts w:ascii="Times New Roman" w:hAnsi="Times New Roman" w:cs="Times New Roman"/>
          <w:color w:val="000000" w:themeColor="text1"/>
          <w:kern w:val="0"/>
          <w:szCs w:val="18"/>
        </w:rPr>
        <w:t>3</w:t>
      </w:r>
      <w:r w:rsidR="00714D52" w:rsidRPr="00AE6E3C">
        <w:rPr>
          <w:rFonts w:ascii="Times New Roman" w:hAnsi="Times New Roman" w:cs="Times New Roman"/>
          <w:color w:val="000000" w:themeColor="text1"/>
          <w:kern w:val="0"/>
          <w:szCs w:val="18"/>
        </w:rPr>
        <w:t>]</w:t>
      </w:r>
      <w:r w:rsidRPr="00AE6E3C">
        <w:rPr>
          <w:rFonts w:ascii="Times New Roman" w:hAnsi="Times New Roman" w:cs="Times New Roman"/>
          <w:color w:val="FF0000"/>
          <w:kern w:val="0"/>
          <w:szCs w:val="18"/>
        </w:rPr>
        <w:t xml:space="preserve"> </w:t>
      </w:r>
      <w:r w:rsidRPr="00AE6E3C">
        <w:rPr>
          <w:rFonts w:ascii="Times New Roman" w:hAnsi="Times New Roman" w:cs="Times New Roman"/>
          <w:color w:val="000000"/>
          <w:kern w:val="0"/>
          <w:szCs w:val="18"/>
        </w:rPr>
        <w:t>(Dingshuai Xue*, Hongyue Wang, Yanhong Liu, Liewen Xie, Ping Shen; 2017, Geostandards and Geoanalytical Research,DOI: 2017, Volume 41, Issue 3, Pages 411–425)</w:t>
      </w:r>
      <w:r w:rsidR="00A66916">
        <w:rPr>
          <w:rFonts w:ascii="Times New Roman" w:hAnsi="Times New Roman" w:cs="Times New Roman"/>
          <w:color w:val="000000"/>
          <w:kern w:val="0"/>
          <w:szCs w:val="18"/>
        </w:rPr>
        <w:t>.</w:t>
      </w:r>
    </w:p>
    <w:p w:rsidR="00A66916" w:rsidRDefault="00A66916" w:rsidP="00A66916">
      <w:pPr>
        <w:autoSpaceDE w:val="0"/>
        <w:autoSpaceDN w:val="0"/>
        <w:adjustRightInd w:val="0"/>
        <w:spacing w:line="360" w:lineRule="auto"/>
        <w:jc w:val="left"/>
        <w:rPr>
          <w:rFonts w:ascii="Times New Roman" w:hAnsi="Times New Roman" w:cs="Times New Roman"/>
          <w:color w:val="000000"/>
          <w:kern w:val="0"/>
          <w:szCs w:val="18"/>
        </w:rPr>
      </w:pPr>
    </w:p>
    <w:p w:rsidR="00A66916" w:rsidRPr="007233C4" w:rsidRDefault="00A66916" w:rsidP="00A66916">
      <w:pPr>
        <w:pStyle w:val="MDPI43tablefooter"/>
        <w:spacing w:line="360" w:lineRule="auto"/>
        <w:ind w:firstLineChars="100" w:firstLine="210"/>
        <w:jc w:val="left"/>
        <w:rPr>
          <w:rFonts w:ascii="Times New Roman" w:eastAsia="宋体" w:hAnsi="Times New Roman"/>
          <w:bCs/>
          <w:sz w:val="21"/>
          <w:szCs w:val="21"/>
          <w:lang w:bidi="ar"/>
        </w:rPr>
      </w:pPr>
      <w:r w:rsidRPr="007233C4">
        <w:rPr>
          <w:rFonts w:ascii="Times New Roman" w:eastAsia="宋体" w:hAnsi="Times New Roman"/>
          <w:bCs/>
          <w:sz w:val="21"/>
          <w:szCs w:val="21"/>
          <w:lang w:bidi="ar"/>
        </w:rPr>
        <w:t xml:space="preserve">The SuperQ software can automatically provide the </w:t>
      </w:r>
      <w:r w:rsidRPr="007233C4">
        <w:rPr>
          <w:rFonts w:ascii="Times New Roman" w:eastAsia="宋体" w:hAnsi="Times New Roman"/>
          <w:sz w:val="21"/>
          <w:szCs w:val="21"/>
          <w:lang w:bidi="ar"/>
        </w:rPr>
        <w:t>limit of detection (LOD)</w:t>
      </w:r>
      <w:r w:rsidRPr="007233C4">
        <w:rPr>
          <w:rFonts w:ascii="Times New Roman" w:eastAsia="宋体" w:hAnsi="Times New Roman"/>
          <w:bCs/>
          <w:sz w:val="21"/>
          <w:szCs w:val="21"/>
          <w:lang w:bidi="ar"/>
        </w:rPr>
        <w:t xml:space="preserve"> for each element. The calculation equation used by the SuperQ software is </w:t>
      </w:r>
      <w:r w:rsidRPr="007233C4">
        <w:rPr>
          <w:rFonts w:ascii="Times New Roman" w:hAnsi="Times New Roman"/>
          <w:sz w:val="21"/>
          <w:szCs w:val="21"/>
          <w:lang w:val="en"/>
        </w:rPr>
        <w:t>[1]</w:t>
      </w:r>
      <w:r w:rsidRPr="007233C4">
        <w:rPr>
          <w:rFonts w:ascii="Times New Roman" w:eastAsia="宋体" w:hAnsi="Times New Roman"/>
          <w:bCs/>
          <w:sz w:val="21"/>
          <w:szCs w:val="21"/>
          <w:lang w:bidi="ar"/>
        </w:rPr>
        <w:t xml:space="preserve">: </w:t>
      </w:r>
    </w:p>
    <w:p w:rsidR="00A66916" w:rsidRPr="007233C4" w:rsidRDefault="00A66916" w:rsidP="00A66916">
      <w:pPr>
        <w:pStyle w:val="MDPI43tablefooter"/>
        <w:spacing w:line="360" w:lineRule="auto"/>
        <w:jc w:val="left"/>
        <w:rPr>
          <w:rFonts w:ascii="Times New Roman" w:eastAsia="宋体" w:hAnsi="Times New Roman"/>
          <w:bCs/>
          <w:sz w:val="21"/>
          <w:szCs w:val="21"/>
          <w:lang w:bidi="ar"/>
        </w:rPr>
      </w:pPr>
      <m:oMath>
        <m:r>
          <m:rPr>
            <m:sty m:val="p"/>
          </m:rPr>
          <w:rPr>
            <w:rFonts w:ascii="Cambria Math" w:eastAsia="宋体" w:hAnsi="Cambria Math"/>
            <w:sz w:val="21"/>
            <w:szCs w:val="21"/>
            <w:lang w:bidi="ar"/>
          </w:rPr>
          <m:t>LOD=</m:t>
        </m:r>
        <m:f>
          <m:fPr>
            <m:ctrlPr>
              <w:rPr>
                <w:rFonts w:ascii="Cambria Math" w:eastAsia="宋体" w:hAnsi="Cambria Math"/>
                <w:bCs/>
                <w:sz w:val="21"/>
                <w:szCs w:val="21"/>
                <w:lang w:bidi="ar"/>
              </w:rPr>
            </m:ctrlPr>
          </m:fPr>
          <m:num>
            <m:r>
              <w:rPr>
                <w:rFonts w:ascii="Cambria Math" w:eastAsia="宋体" w:hAnsi="Cambria Math"/>
                <w:sz w:val="21"/>
                <w:szCs w:val="21"/>
                <w:lang w:bidi="ar"/>
              </w:rPr>
              <m:t>n</m:t>
            </m:r>
            <m:rad>
              <m:radPr>
                <m:degHide m:val="1"/>
                <m:ctrlPr>
                  <w:rPr>
                    <w:rFonts w:ascii="Cambria Math" w:eastAsia="宋体" w:hAnsi="Cambria Math"/>
                    <w:bCs/>
                    <w:i/>
                    <w:sz w:val="21"/>
                    <w:szCs w:val="21"/>
                    <w:lang w:bidi="ar"/>
                  </w:rPr>
                </m:ctrlPr>
              </m:radPr>
              <m:deg/>
              <m:e>
                <m:r>
                  <w:rPr>
                    <w:rFonts w:ascii="Cambria Math" w:eastAsia="宋体" w:hAnsi="Cambria Math"/>
                    <w:sz w:val="21"/>
                    <w:szCs w:val="21"/>
                    <w:lang w:bidi="ar"/>
                  </w:rPr>
                  <m:t>2</m:t>
                </m:r>
              </m:e>
            </m:rad>
          </m:num>
          <m:den>
            <m:r>
              <w:rPr>
                <w:rFonts w:ascii="Cambria Math" w:eastAsia="宋体" w:hAnsi="Cambria Math"/>
                <w:sz w:val="21"/>
                <w:szCs w:val="21"/>
                <w:lang w:bidi="ar"/>
              </w:rPr>
              <m:t>s</m:t>
            </m:r>
          </m:den>
        </m:f>
        <m:rad>
          <m:radPr>
            <m:degHide m:val="1"/>
            <m:ctrlPr>
              <w:rPr>
                <w:rFonts w:ascii="Cambria Math" w:eastAsia="宋体" w:hAnsi="Cambria Math"/>
                <w:bCs/>
                <w:sz w:val="21"/>
                <w:szCs w:val="21"/>
                <w:lang w:bidi="ar"/>
              </w:rPr>
            </m:ctrlPr>
          </m:radPr>
          <m:deg/>
          <m:e>
            <m:f>
              <m:fPr>
                <m:ctrlPr>
                  <w:rPr>
                    <w:rFonts w:ascii="Cambria Math" w:eastAsia="宋体" w:hAnsi="Cambria Math"/>
                    <w:bCs/>
                    <w:i/>
                    <w:sz w:val="21"/>
                    <w:szCs w:val="21"/>
                    <w:lang w:bidi="ar"/>
                  </w:rPr>
                </m:ctrlPr>
              </m:fPr>
              <m:num>
                <m:sSub>
                  <m:sSubPr>
                    <m:ctrlPr>
                      <w:rPr>
                        <w:rFonts w:ascii="Cambria Math" w:eastAsia="宋体" w:hAnsi="Cambria Math"/>
                        <w:bCs/>
                        <w:i/>
                        <w:sz w:val="21"/>
                        <w:szCs w:val="21"/>
                        <w:lang w:bidi="ar"/>
                      </w:rPr>
                    </m:ctrlPr>
                  </m:sSubPr>
                  <m:e>
                    <m:r>
                      <w:rPr>
                        <w:rFonts w:ascii="Cambria Math" w:eastAsia="宋体" w:hAnsi="Cambria Math"/>
                        <w:sz w:val="21"/>
                        <w:szCs w:val="21"/>
                        <w:lang w:bidi="ar"/>
                      </w:rPr>
                      <m:t>R</m:t>
                    </m:r>
                  </m:e>
                  <m:sub>
                    <m:r>
                      <w:rPr>
                        <w:rFonts w:ascii="Cambria Math" w:eastAsia="宋体" w:hAnsi="Cambria Math"/>
                        <w:sz w:val="21"/>
                        <w:szCs w:val="21"/>
                        <w:lang w:bidi="ar"/>
                      </w:rPr>
                      <m:t>b</m:t>
                    </m:r>
                  </m:sub>
                </m:sSub>
              </m:num>
              <m:den>
                <m:sSub>
                  <m:sSubPr>
                    <m:ctrlPr>
                      <w:rPr>
                        <w:rFonts w:ascii="Cambria Math" w:eastAsia="宋体" w:hAnsi="Cambria Math"/>
                        <w:bCs/>
                        <w:i/>
                        <w:sz w:val="21"/>
                        <w:szCs w:val="21"/>
                        <w:lang w:bidi="ar"/>
                      </w:rPr>
                    </m:ctrlPr>
                  </m:sSubPr>
                  <m:e>
                    <m:r>
                      <w:rPr>
                        <w:rFonts w:ascii="Cambria Math" w:eastAsia="宋体" w:hAnsi="Cambria Math"/>
                        <w:sz w:val="21"/>
                        <w:szCs w:val="21"/>
                        <w:lang w:bidi="ar"/>
                      </w:rPr>
                      <m:t>T</m:t>
                    </m:r>
                  </m:e>
                  <m:sub>
                    <m:r>
                      <w:rPr>
                        <w:rFonts w:ascii="Cambria Math" w:eastAsia="宋体" w:hAnsi="Cambria Math"/>
                        <w:sz w:val="21"/>
                        <w:szCs w:val="21"/>
                        <w:lang w:bidi="ar"/>
                      </w:rPr>
                      <m:t>b</m:t>
                    </m:r>
                  </m:sub>
                </m:sSub>
              </m:den>
            </m:f>
          </m:e>
        </m:rad>
      </m:oMath>
      <w:r w:rsidRPr="007233C4">
        <w:rPr>
          <w:rFonts w:ascii="Times New Roman" w:eastAsia="宋体" w:hAnsi="Times New Roman"/>
          <w:bCs/>
          <w:sz w:val="21"/>
          <w:szCs w:val="21"/>
          <w:lang w:bidi="ar"/>
        </w:rPr>
        <w:t xml:space="preserve">  (3)</w:t>
      </w:r>
    </w:p>
    <w:p w:rsidR="00A66916" w:rsidRDefault="00A66916" w:rsidP="00A66916">
      <w:pPr>
        <w:pStyle w:val="MDPI43tablefooter"/>
        <w:spacing w:line="360" w:lineRule="auto"/>
        <w:jc w:val="left"/>
        <w:rPr>
          <w:rFonts w:ascii="Times New Roman" w:eastAsia="宋体" w:hAnsi="Times New Roman"/>
          <w:bCs/>
          <w:sz w:val="21"/>
          <w:szCs w:val="21"/>
          <w:lang w:val="en-GB" w:bidi="ar"/>
        </w:rPr>
      </w:pPr>
      <w:r w:rsidRPr="007233C4">
        <w:rPr>
          <w:rFonts w:ascii="Times New Roman" w:eastAsia="宋体" w:hAnsi="Times New Roman"/>
          <w:bCs/>
          <w:sz w:val="21"/>
          <w:szCs w:val="21"/>
          <w:lang w:val="en-GB" w:bidi="ar"/>
        </w:rPr>
        <w:t>where n is a constant. The default is 2, which corresponds to a significance of 2, with a confidence level of 95%. s is the sensitivity in cps/ppm (cps is counts per second and ppm is μg g</w:t>
      </w:r>
      <w:r w:rsidRPr="007233C4">
        <w:rPr>
          <w:rFonts w:ascii="Times New Roman" w:eastAsia="宋体" w:hAnsi="Times New Roman"/>
          <w:bCs/>
          <w:sz w:val="21"/>
          <w:szCs w:val="21"/>
          <w:vertAlign w:val="superscript"/>
          <w:lang w:val="en-GB" w:bidi="ar"/>
        </w:rPr>
        <w:t>-1</w:t>
      </w:r>
      <w:r w:rsidRPr="007233C4">
        <w:rPr>
          <w:rFonts w:ascii="Times New Roman" w:eastAsia="宋体" w:hAnsi="Times New Roman"/>
          <w:bCs/>
          <w:sz w:val="21"/>
          <w:szCs w:val="21"/>
          <w:lang w:val="en-GB" w:bidi="ar"/>
        </w:rPr>
        <w:t>). R</w:t>
      </w:r>
      <w:r w:rsidRPr="007233C4">
        <w:rPr>
          <w:rFonts w:ascii="Times New Roman" w:eastAsia="宋体" w:hAnsi="Times New Roman"/>
          <w:bCs/>
          <w:sz w:val="21"/>
          <w:szCs w:val="21"/>
          <w:vertAlign w:val="subscript"/>
          <w:lang w:val="en-GB" w:bidi="ar"/>
        </w:rPr>
        <w:t>b</w:t>
      </w:r>
      <w:r w:rsidRPr="007233C4">
        <w:rPr>
          <w:rFonts w:ascii="Times New Roman" w:eastAsia="宋体" w:hAnsi="Times New Roman"/>
          <w:bCs/>
          <w:sz w:val="21"/>
          <w:szCs w:val="21"/>
          <w:lang w:val="en-GB" w:bidi="ar"/>
        </w:rPr>
        <w:t xml:space="preserve"> is the estimated background intensity in cps at the peak position. T</w:t>
      </w:r>
      <w:r w:rsidRPr="007233C4">
        <w:rPr>
          <w:rFonts w:ascii="Times New Roman" w:eastAsia="宋体" w:hAnsi="Times New Roman"/>
          <w:bCs/>
          <w:sz w:val="21"/>
          <w:szCs w:val="21"/>
          <w:vertAlign w:val="subscript"/>
          <w:lang w:val="en-GB" w:bidi="ar"/>
        </w:rPr>
        <w:t>b</w:t>
      </w:r>
      <w:r w:rsidRPr="007233C4">
        <w:rPr>
          <w:rFonts w:ascii="Times New Roman" w:eastAsia="宋体" w:hAnsi="Times New Roman"/>
          <w:bCs/>
          <w:sz w:val="21"/>
          <w:szCs w:val="21"/>
          <w:lang w:val="en-GB" w:bidi="ar"/>
        </w:rPr>
        <w:t xml:space="preserve"> is the total measurement time spent on the background. </w:t>
      </w:r>
    </w:p>
    <w:p w:rsidR="00A66916" w:rsidRPr="00A66916" w:rsidRDefault="00A66916" w:rsidP="00A66916">
      <w:pPr>
        <w:autoSpaceDE w:val="0"/>
        <w:autoSpaceDN w:val="0"/>
        <w:adjustRightInd w:val="0"/>
        <w:spacing w:line="360" w:lineRule="auto"/>
        <w:ind w:firstLineChars="100" w:firstLine="210"/>
        <w:jc w:val="left"/>
        <w:rPr>
          <w:rFonts w:ascii="Times New Roman" w:hAnsi="Times New Roman" w:cs="Times New Roman"/>
          <w:color w:val="000000"/>
          <w:kern w:val="0"/>
          <w:szCs w:val="18"/>
        </w:rPr>
      </w:pPr>
      <w:r w:rsidRPr="007233C4">
        <w:rPr>
          <w:rFonts w:ascii="Times New Roman" w:eastAsia="宋体" w:hAnsi="Times New Roman" w:cs="Times New Roman"/>
          <w:szCs w:val="21"/>
          <w:lang w:bidi="ar"/>
        </w:rPr>
        <w:t>The limit of detection (LOD) is the lowest concentration level that can be determined to be statistically different from an analyte blank. For quantitative measurements, the limit of quantitation (LOQ) is generally considered to be that value corresponding to 10 standard deviations above the baseline, approximately 3.3 times the LOD.</w:t>
      </w:r>
    </w:p>
    <w:p w:rsidR="00AE6E3C" w:rsidRDefault="00AE6E3C" w:rsidP="00AE6E3C">
      <w:pPr>
        <w:widowControl/>
        <w:jc w:val="left"/>
        <w:rPr>
          <w:b/>
        </w:rPr>
      </w:pPr>
    </w:p>
    <w:p w:rsidR="00B214E5" w:rsidRDefault="00B214E5">
      <w:pPr>
        <w:widowControl/>
        <w:jc w:val="left"/>
        <w:rPr>
          <w:b/>
        </w:rPr>
      </w:pPr>
      <w:r>
        <w:rPr>
          <w:b/>
        </w:rPr>
        <w:br w:type="page"/>
      </w:r>
    </w:p>
    <w:p w:rsidR="00C77635" w:rsidRPr="00A66916" w:rsidRDefault="007300BA" w:rsidP="00390CE1">
      <w:pPr>
        <w:widowControl/>
        <w:spacing w:line="360" w:lineRule="auto"/>
        <w:jc w:val="left"/>
        <w:rPr>
          <w:rFonts w:ascii="Palatino Linotype" w:eastAsia="宋体" w:hAnsi="Palatino Linotype"/>
        </w:rPr>
      </w:pPr>
      <w:r w:rsidRPr="00A66916">
        <w:rPr>
          <w:rFonts w:ascii="Palatino Linotype" w:hAnsi="Palatino Linotype"/>
          <w:b/>
        </w:rPr>
        <w:lastRenderedPageBreak/>
        <w:t>Table</w:t>
      </w:r>
      <w:r w:rsidR="00C77635" w:rsidRPr="00A66916">
        <w:rPr>
          <w:rFonts w:ascii="Palatino Linotype" w:hAnsi="Palatino Linotype"/>
          <w:b/>
        </w:rPr>
        <w:t xml:space="preserve">. </w:t>
      </w:r>
      <w:r w:rsidR="00C77635" w:rsidRPr="00A66916">
        <w:rPr>
          <w:rFonts w:ascii="Palatino Linotype" w:eastAsia="宋体" w:hAnsi="Palatino Linotype"/>
        </w:rPr>
        <w:t>Data for the range of stan</w:t>
      </w:r>
      <w:r w:rsidRPr="00A66916">
        <w:rPr>
          <w:rFonts w:ascii="Palatino Linotype" w:eastAsia="宋体" w:hAnsi="Palatino Linotype"/>
        </w:rPr>
        <w:t xml:space="preserve">dard sample compositions, </w:t>
      </w:r>
      <w:r w:rsidR="00C77635" w:rsidRPr="00A66916">
        <w:rPr>
          <w:rFonts w:ascii="Palatino Linotype" w:eastAsia="宋体" w:hAnsi="Palatino Linotype"/>
        </w:rPr>
        <w:t>limits of detection (L</w:t>
      </w:r>
      <w:r w:rsidRPr="00A66916">
        <w:rPr>
          <w:rFonts w:ascii="Palatino Linotype" w:eastAsia="宋体" w:hAnsi="Palatino Linotype"/>
        </w:rPr>
        <w:t>O</w:t>
      </w:r>
      <w:r w:rsidR="00C77635" w:rsidRPr="00A66916">
        <w:rPr>
          <w:rFonts w:ascii="Palatino Linotype" w:eastAsia="宋体" w:hAnsi="Palatino Linotype"/>
        </w:rPr>
        <w:t>D)</w:t>
      </w:r>
      <w:r w:rsidRPr="00A66916">
        <w:rPr>
          <w:rFonts w:ascii="Palatino Linotype" w:eastAsia="宋体" w:hAnsi="Palatino Linotype"/>
        </w:rPr>
        <w:t xml:space="preserve"> and limits of </w:t>
      </w:r>
      <w:r w:rsidR="00CD6D56" w:rsidRPr="00A66916">
        <w:rPr>
          <w:rFonts w:ascii="Palatino Linotype" w:eastAsia="宋体" w:hAnsi="Palatino Linotype"/>
        </w:rPr>
        <w:t>quantitation</w:t>
      </w:r>
      <w:r w:rsidRPr="00A66916">
        <w:rPr>
          <w:rFonts w:ascii="Palatino Linotype" w:eastAsia="宋体" w:hAnsi="Palatino Linotype"/>
        </w:rPr>
        <w:t xml:space="preserve"> (L</w:t>
      </w:r>
      <w:r w:rsidR="00CD6D56" w:rsidRPr="00A66916">
        <w:rPr>
          <w:rFonts w:ascii="Palatino Linotype" w:eastAsia="宋体" w:hAnsi="Palatino Linotype"/>
        </w:rPr>
        <w:t>OQ</w:t>
      </w:r>
      <w:r w:rsidRPr="00A66916">
        <w:rPr>
          <w:rFonts w:ascii="Palatino Linotype" w:eastAsia="宋体" w:hAnsi="Palatino Linotype"/>
        </w:rPr>
        <w:t>)</w:t>
      </w:r>
      <w:r w:rsidR="00C77635" w:rsidRPr="00A66916">
        <w:rPr>
          <w:rFonts w:ascii="Palatino Linotype" w:eastAsia="宋体" w:hAnsi="Palatino Linotype"/>
        </w:rPr>
        <w:t xml:space="preserve"> of the</w:t>
      </w:r>
      <w:r w:rsidR="00CD6D56" w:rsidRPr="00A66916">
        <w:rPr>
          <w:rFonts w:ascii="Palatino Linotype" w:eastAsia="宋体" w:hAnsi="Palatino Linotype"/>
        </w:rPr>
        <w:t xml:space="preserve"> method</w:t>
      </w:r>
      <w:r w:rsidR="00C77635" w:rsidRPr="00A66916">
        <w:rPr>
          <w:rFonts w:ascii="Palatino Linotype" w:eastAsia="宋体" w:hAnsi="Palatino Linotype"/>
        </w:rPr>
        <w:t>.</w:t>
      </w:r>
    </w:p>
    <w:tbl>
      <w:tblPr>
        <w:tblW w:w="4814" w:type="pct"/>
        <w:jc w:val="center"/>
        <w:tblBorders>
          <w:top w:val="single" w:sz="4" w:space="0" w:color="auto"/>
          <w:bottom w:val="single" w:sz="4" w:space="0" w:color="auto"/>
        </w:tblBorders>
        <w:tblLook w:val="04A0" w:firstRow="1" w:lastRow="0" w:firstColumn="1" w:lastColumn="0" w:noHBand="0" w:noVBand="1"/>
      </w:tblPr>
      <w:tblGrid>
        <w:gridCol w:w="1074"/>
        <w:gridCol w:w="1158"/>
        <w:gridCol w:w="2343"/>
        <w:gridCol w:w="1698"/>
        <w:gridCol w:w="1724"/>
      </w:tblGrid>
      <w:tr w:rsidR="00663B65" w:rsidRPr="00A66916" w:rsidTr="002F54F0">
        <w:trPr>
          <w:cantSplit/>
          <w:jc w:val="center"/>
        </w:trPr>
        <w:tc>
          <w:tcPr>
            <w:tcW w:w="0" w:type="auto"/>
            <w:tcBorders>
              <w:top w:val="single" w:sz="4" w:space="0" w:color="auto"/>
              <w:bottom w:val="single" w:sz="4" w:space="0" w:color="auto"/>
            </w:tcBorders>
            <w:shd w:val="clear" w:color="auto" w:fill="auto"/>
            <w:vAlign w:val="center"/>
          </w:tcPr>
          <w:p w:rsidR="00663B65" w:rsidRPr="00A66916" w:rsidRDefault="00663B65" w:rsidP="00504A9E">
            <w:pPr>
              <w:autoSpaceDE w:val="0"/>
              <w:autoSpaceDN w:val="0"/>
              <w:adjustRightInd w:val="0"/>
              <w:snapToGrid w:val="0"/>
              <w:jc w:val="center"/>
              <w:rPr>
                <w:rFonts w:ascii="Palatino Linotype" w:eastAsia="宋体" w:hAnsi="Palatino Linotype"/>
                <w:b/>
                <w:bCs/>
                <w:sz w:val="20"/>
              </w:rPr>
            </w:pPr>
            <w:r w:rsidRPr="00A66916">
              <w:rPr>
                <w:rFonts w:ascii="Palatino Linotype" w:eastAsia="宋体" w:hAnsi="Palatino Linotype"/>
                <w:b/>
                <w:bCs/>
                <w:sz w:val="20"/>
              </w:rPr>
              <w:t>Number</w:t>
            </w:r>
          </w:p>
        </w:tc>
        <w:tc>
          <w:tcPr>
            <w:tcW w:w="0" w:type="auto"/>
            <w:tcBorders>
              <w:top w:val="single" w:sz="4" w:space="0" w:color="auto"/>
              <w:bottom w:val="single" w:sz="4" w:space="0" w:color="auto"/>
            </w:tcBorders>
            <w:shd w:val="clear" w:color="auto" w:fill="auto"/>
            <w:vAlign w:val="center"/>
          </w:tcPr>
          <w:p w:rsidR="00663B65" w:rsidRPr="00A66916" w:rsidRDefault="00663B65" w:rsidP="00504A9E">
            <w:pPr>
              <w:autoSpaceDE w:val="0"/>
              <w:autoSpaceDN w:val="0"/>
              <w:adjustRightInd w:val="0"/>
              <w:snapToGrid w:val="0"/>
              <w:jc w:val="center"/>
              <w:rPr>
                <w:rFonts w:ascii="Palatino Linotype" w:eastAsia="宋体" w:hAnsi="Palatino Linotype"/>
                <w:b/>
                <w:bCs/>
                <w:sz w:val="20"/>
              </w:rPr>
            </w:pPr>
            <w:r w:rsidRPr="00A66916">
              <w:rPr>
                <w:rFonts w:ascii="Palatino Linotype" w:eastAsia="宋体" w:hAnsi="Palatino Linotype"/>
                <w:b/>
                <w:bCs/>
                <w:sz w:val="20"/>
              </w:rPr>
              <w:t>Elements</w:t>
            </w:r>
          </w:p>
        </w:tc>
        <w:tc>
          <w:tcPr>
            <w:tcW w:w="0" w:type="auto"/>
            <w:tcBorders>
              <w:top w:val="single" w:sz="4" w:space="0" w:color="auto"/>
              <w:bottom w:val="single" w:sz="4" w:space="0" w:color="auto"/>
            </w:tcBorders>
            <w:shd w:val="clear" w:color="auto" w:fill="auto"/>
            <w:vAlign w:val="center"/>
          </w:tcPr>
          <w:p w:rsidR="00663B65" w:rsidRPr="00A66916" w:rsidRDefault="00663B65" w:rsidP="00504A9E">
            <w:pPr>
              <w:autoSpaceDE w:val="0"/>
              <w:autoSpaceDN w:val="0"/>
              <w:adjustRightInd w:val="0"/>
              <w:snapToGrid w:val="0"/>
              <w:jc w:val="center"/>
              <w:rPr>
                <w:rFonts w:ascii="Palatino Linotype" w:eastAsia="宋体" w:hAnsi="Palatino Linotype"/>
                <w:b/>
                <w:bCs/>
                <w:sz w:val="20"/>
              </w:rPr>
            </w:pPr>
            <w:r w:rsidRPr="00A66916">
              <w:rPr>
                <w:rFonts w:ascii="Palatino Linotype" w:eastAsia="宋体" w:hAnsi="Palatino Linotype"/>
                <w:b/>
                <w:bCs/>
                <w:sz w:val="20"/>
              </w:rPr>
              <w:t>Range of Standard</w:t>
            </w:r>
          </w:p>
          <w:p w:rsidR="00663B65" w:rsidRPr="00A66916" w:rsidRDefault="00663B65" w:rsidP="00504A9E">
            <w:pPr>
              <w:autoSpaceDE w:val="0"/>
              <w:autoSpaceDN w:val="0"/>
              <w:adjustRightInd w:val="0"/>
              <w:snapToGrid w:val="0"/>
              <w:jc w:val="center"/>
              <w:rPr>
                <w:rFonts w:ascii="Palatino Linotype" w:eastAsia="宋体" w:hAnsi="Palatino Linotype"/>
                <w:b/>
                <w:bCs/>
                <w:sz w:val="20"/>
              </w:rPr>
            </w:pPr>
            <w:r w:rsidRPr="00A66916">
              <w:rPr>
                <w:rFonts w:ascii="Palatino Linotype" w:eastAsia="宋体" w:hAnsi="Palatino Linotype"/>
                <w:b/>
                <w:bCs/>
                <w:sz w:val="20"/>
              </w:rPr>
              <w:t>Sample Composition</w:t>
            </w:r>
          </w:p>
        </w:tc>
        <w:tc>
          <w:tcPr>
            <w:tcW w:w="1698" w:type="dxa"/>
            <w:tcBorders>
              <w:top w:val="single" w:sz="4" w:space="0" w:color="auto"/>
              <w:bottom w:val="single" w:sz="4" w:space="0" w:color="auto"/>
            </w:tcBorders>
            <w:shd w:val="clear" w:color="auto" w:fill="auto"/>
            <w:vAlign w:val="center"/>
          </w:tcPr>
          <w:p w:rsidR="00663B65" w:rsidRPr="00A66916" w:rsidRDefault="00663B65" w:rsidP="00F23013">
            <w:pPr>
              <w:autoSpaceDE w:val="0"/>
              <w:autoSpaceDN w:val="0"/>
              <w:adjustRightInd w:val="0"/>
              <w:snapToGrid w:val="0"/>
              <w:jc w:val="center"/>
              <w:rPr>
                <w:rFonts w:ascii="Palatino Linotype" w:eastAsia="宋体" w:hAnsi="Palatino Linotype"/>
                <w:b/>
                <w:bCs/>
                <w:sz w:val="20"/>
              </w:rPr>
            </w:pPr>
            <w:r w:rsidRPr="00A66916">
              <w:rPr>
                <w:rFonts w:ascii="Palatino Linotype" w:eastAsia="宋体" w:hAnsi="Palatino Linotype"/>
                <w:b/>
                <w:bCs/>
                <w:sz w:val="20"/>
              </w:rPr>
              <w:t xml:space="preserve">LOD </w:t>
            </w:r>
          </w:p>
          <w:p w:rsidR="00F23013" w:rsidRPr="00A66916" w:rsidRDefault="00F23013" w:rsidP="00F23013">
            <w:pPr>
              <w:autoSpaceDE w:val="0"/>
              <w:autoSpaceDN w:val="0"/>
              <w:adjustRightInd w:val="0"/>
              <w:snapToGrid w:val="0"/>
              <w:jc w:val="center"/>
              <w:rPr>
                <w:rFonts w:ascii="Palatino Linotype" w:eastAsia="宋体" w:hAnsi="Palatino Linotype"/>
                <w:b/>
                <w:bCs/>
                <w:sz w:val="20"/>
              </w:rPr>
            </w:pPr>
            <w:r w:rsidRPr="00A66916">
              <w:rPr>
                <w:rFonts w:ascii="Palatino Linotype" w:eastAsia="宋体" w:hAnsi="Palatino Linotype"/>
                <w:b/>
                <w:bCs/>
                <w:sz w:val="20"/>
              </w:rPr>
              <w:t>(</w:t>
            </w:r>
            <w:r w:rsidRPr="00A66916">
              <w:rPr>
                <w:rFonts w:ascii="Palatino Linotype" w:hAnsi="Palatino Linotype"/>
                <w:b/>
                <w:bCs/>
                <w:sz w:val="20"/>
              </w:rPr>
              <w:t>μg g</w:t>
            </w:r>
            <w:r w:rsidRPr="00A66916">
              <w:rPr>
                <w:rFonts w:ascii="Palatino Linotype" w:hAnsi="Palatino Linotype"/>
                <w:b/>
                <w:bCs/>
                <w:sz w:val="20"/>
                <w:vertAlign w:val="superscript"/>
              </w:rPr>
              <w:t>−1</w:t>
            </w:r>
            <w:r w:rsidRPr="00A66916">
              <w:rPr>
                <w:rFonts w:ascii="Palatino Linotype" w:hAnsi="Palatino Linotype"/>
                <w:b/>
                <w:bCs/>
                <w:sz w:val="20"/>
              </w:rPr>
              <w:t>)</w:t>
            </w:r>
          </w:p>
        </w:tc>
        <w:tc>
          <w:tcPr>
            <w:tcW w:w="1724" w:type="dxa"/>
            <w:tcBorders>
              <w:top w:val="single" w:sz="4" w:space="0" w:color="auto"/>
              <w:bottom w:val="single" w:sz="4" w:space="0" w:color="auto"/>
            </w:tcBorders>
            <w:shd w:val="clear" w:color="auto" w:fill="auto"/>
            <w:vAlign w:val="center"/>
          </w:tcPr>
          <w:p w:rsidR="00663B65" w:rsidRPr="00A66916" w:rsidRDefault="00663B65" w:rsidP="00F23013">
            <w:pPr>
              <w:autoSpaceDE w:val="0"/>
              <w:autoSpaceDN w:val="0"/>
              <w:adjustRightInd w:val="0"/>
              <w:snapToGrid w:val="0"/>
              <w:ind w:left="10"/>
              <w:jc w:val="center"/>
              <w:rPr>
                <w:rFonts w:ascii="Palatino Linotype" w:eastAsia="宋体" w:hAnsi="Palatino Linotype"/>
                <w:b/>
                <w:bCs/>
                <w:sz w:val="20"/>
              </w:rPr>
            </w:pPr>
            <w:r w:rsidRPr="00A66916">
              <w:rPr>
                <w:rFonts w:ascii="Palatino Linotype" w:eastAsia="宋体" w:hAnsi="Palatino Linotype"/>
                <w:b/>
                <w:bCs/>
                <w:sz w:val="20"/>
              </w:rPr>
              <w:t>LO</w:t>
            </w:r>
            <w:r w:rsidR="00F23013" w:rsidRPr="00A66916">
              <w:rPr>
                <w:rFonts w:ascii="Palatino Linotype" w:eastAsia="宋体" w:hAnsi="Palatino Linotype"/>
                <w:b/>
                <w:bCs/>
                <w:sz w:val="20"/>
              </w:rPr>
              <w:t>Q</w:t>
            </w:r>
          </w:p>
          <w:p w:rsidR="00F23013" w:rsidRPr="00A66916" w:rsidRDefault="00F23013" w:rsidP="00F23013">
            <w:pPr>
              <w:autoSpaceDE w:val="0"/>
              <w:autoSpaceDN w:val="0"/>
              <w:adjustRightInd w:val="0"/>
              <w:snapToGrid w:val="0"/>
              <w:ind w:left="10"/>
              <w:jc w:val="center"/>
              <w:rPr>
                <w:rFonts w:ascii="Palatino Linotype" w:eastAsia="宋体" w:hAnsi="Palatino Linotype"/>
                <w:b/>
                <w:bCs/>
                <w:sz w:val="20"/>
              </w:rPr>
            </w:pPr>
            <w:r w:rsidRPr="00A66916">
              <w:rPr>
                <w:rFonts w:ascii="Palatino Linotype" w:eastAsia="宋体" w:hAnsi="Palatino Linotype"/>
                <w:b/>
                <w:bCs/>
                <w:sz w:val="20"/>
              </w:rPr>
              <w:t>(</w:t>
            </w:r>
            <w:r w:rsidRPr="00A66916">
              <w:rPr>
                <w:rFonts w:ascii="Palatino Linotype" w:hAnsi="Palatino Linotype"/>
                <w:b/>
                <w:bCs/>
                <w:sz w:val="20"/>
              </w:rPr>
              <w:t>μg g</w:t>
            </w:r>
            <w:r w:rsidRPr="00A66916">
              <w:rPr>
                <w:rFonts w:ascii="Palatino Linotype" w:hAnsi="Palatino Linotype"/>
                <w:b/>
                <w:bCs/>
                <w:sz w:val="20"/>
                <w:vertAlign w:val="superscript"/>
              </w:rPr>
              <w:t>−1</w:t>
            </w:r>
            <w:r w:rsidRPr="00A66916">
              <w:rPr>
                <w:rFonts w:ascii="Palatino Linotype" w:hAnsi="Palatino Linotype"/>
                <w:b/>
                <w:bCs/>
                <w:sz w:val="20"/>
              </w:rPr>
              <w:t>)</w:t>
            </w:r>
          </w:p>
        </w:tc>
      </w:tr>
      <w:tr w:rsidR="007300BA" w:rsidRPr="00A66916" w:rsidTr="00E83E17">
        <w:trPr>
          <w:cantSplit/>
          <w:jc w:val="center"/>
        </w:trPr>
        <w:tc>
          <w:tcPr>
            <w:tcW w:w="0" w:type="auto"/>
            <w:tcBorders>
              <w:top w:val="single" w:sz="4" w:space="0" w:color="auto"/>
            </w:tcBorders>
            <w:shd w:val="clear" w:color="auto" w:fill="auto"/>
            <w:vAlign w:val="center"/>
          </w:tcPr>
          <w:p w:rsidR="007300BA" w:rsidRPr="00A66916" w:rsidRDefault="007300BA" w:rsidP="00F67ECE">
            <w:pPr>
              <w:autoSpaceDE w:val="0"/>
              <w:autoSpaceDN w:val="0"/>
              <w:adjustRightInd w:val="0"/>
              <w:snapToGrid w:val="0"/>
              <w:jc w:val="center"/>
              <w:rPr>
                <w:rFonts w:ascii="Palatino Linotype" w:eastAsia="宋体" w:hAnsi="Palatino Linotype"/>
                <w:sz w:val="20"/>
                <w:szCs w:val="20"/>
              </w:rPr>
            </w:pPr>
          </w:p>
        </w:tc>
        <w:tc>
          <w:tcPr>
            <w:tcW w:w="0" w:type="auto"/>
            <w:tcBorders>
              <w:top w:val="single" w:sz="4" w:space="0" w:color="auto"/>
            </w:tcBorders>
            <w:shd w:val="clear" w:color="auto" w:fill="auto"/>
            <w:vAlign w:val="center"/>
          </w:tcPr>
          <w:p w:rsidR="007300BA" w:rsidRPr="00A66916" w:rsidRDefault="007300BA" w:rsidP="00F67ECE">
            <w:pPr>
              <w:autoSpaceDE w:val="0"/>
              <w:autoSpaceDN w:val="0"/>
              <w:adjustRightInd w:val="0"/>
              <w:snapToGrid w:val="0"/>
              <w:jc w:val="center"/>
              <w:rPr>
                <w:rFonts w:ascii="Palatino Linotype" w:eastAsia="宋体" w:hAnsi="Palatino Linotype"/>
                <w:sz w:val="20"/>
                <w:szCs w:val="20"/>
                <w:lang w:bidi="ar"/>
              </w:rPr>
            </w:pPr>
            <w:r w:rsidRPr="00A66916">
              <w:rPr>
                <w:rFonts w:ascii="Palatino Linotype" w:eastAsia="宋体" w:hAnsi="Palatino Linotype"/>
                <w:sz w:val="20"/>
                <w:szCs w:val="20"/>
              </w:rPr>
              <w:t>Major</w:t>
            </w:r>
          </w:p>
        </w:tc>
        <w:tc>
          <w:tcPr>
            <w:tcW w:w="0" w:type="auto"/>
            <w:tcBorders>
              <w:top w:val="single" w:sz="4" w:space="0" w:color="auto"/>
            </w:tcBorders>
            <w:shd w:val="clear" w:color="auto" w:fill="auto"/>
            <w:vAlign w:val="center"/>
          </w:tcPr>
          <w:p w:rsidR="007300BA" w:rsidRPr="00A66916" w:rsidRDefault="007300BA"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 xml:space="preserve">(m/m% </w:t>
            </w:r>
            <w:r w:rsidRPr="00A66916">
              <w:rPr>
                <w:rFonts w:ascii="Palatino Linotype" w:eastAsia="宋体" w:hAnsi="Palatino Linotype"/>
                <w:sz w:val="20"/>
                <w:szCs w:val="20"/>
                <w:vertAlign w:val="superscript"/>
              </w:rPr>
              <w:t>a</w:t>
            </w:r>
            <w:r w:rsidRPr="00A66916">
              <w:rPr>
                <w:rFonts w:ascii="Palatino Linotype" w:eastAsia="宋体" w:hAnsi="Palatino Linotype"/>
                <w:sz w:val="20"/>
                <w:szCs w:val="20"/>
              </w:rPr>
              <w:t>)</w:t>
            </w:r>
          </w:p>
        </w:tc>
        <w:tc>
          <w:tcPr>
            <w:tcW w:w="0" w:type="auto"/>
            <w:tcBorders>
              <w:top w:val="single" w:sz="4" w:space="0" w:color="auto"/>
            </w:tcBorders>
            <w:shd w:val="clear" w:color="auto" w:fill="auto"/>
            <w:vAlign w:val="center"/>
          </w:tcPr>
          <w:p w:rsidR="007300BA" w:rsidRPr="00A66916" w:rsidRDefault="007300BA" w:rsidP="00F67ECE">
            <w:pPr>
              <w:autoSpaceDE w:val="0"/>
              <w:autoSpaceDN w:val="0"/>
              <w:adjustRightInd w:val="0"/>
              <w:snapToGrid w:val="0"/>
              <w:jc w:val="center"/>
              <w:rPr>
                <w:rFonts w:ascii="Palatino Linotype" w:eastAsia="宋体" w:hAnsi="Palatino Linotype"/>
                <w:sz w:val="20"/>
                <w:szCs w:val="20"/>
              </w:rPr>
            </w:pPr>
          </w:p>
        </w:tc>
        <w:tc>
          <w:tcPr>
            <w:tcW w:w="0" w:type="auto"/>
            <w:tcBorders>
              <w:top w:val="single" w:sz="4" w:space="0" w:color="auto"/>
            </w:tcBorders>
            <w:shd w:val="clear" w:color="auto" w:fill="auto"/>
            <w:vAlign w:val="center"/>
          </w:tcPr>
          <w:p w:rsidR="007300BA" w:rsidRPr="00A66916" w:rsidRDefault="007300BA" w:rsidP="00F67ECE">
            <w:pPr>
              <w:autoSpaceDE w:val="0"/>
              <w:autoSpaceDN w:val="0"/>
              <w:adjustRightInd w:val="0"/>
              <w:snapToGrid w:val="0"/>
              <w:jc w:val="center"/>
              <w:rPr>
                <w:rFonts w:ascii="Palatino Linotype" w:eastAsia="宋体" w:hAnsi="Palatino Linotype"/>
                <w:sz w:val="20"/>
                <w:szCs w:val="20"/>
              </w:rPr>
            </w:pPr>
          </w:p>
        </w:tc>
      </w:tr>
      <w:tr w:rsidR="002F54F0" w:rsidRPr="00A66916" w:rsidTr="003E23C1">
        <w:trPr>
          <w:cantSplit/>
          <w:jc w:val="center"/>
        </w:trPr>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lang w:bidi="ar"/>
              </w:rPr>
            </w:pPr>
            <w:r w:rsidRPr="00A66916">
              <w:rPr>
                <w:rFonts w:ascii="Palatino Linotype" w:eastAsia="宋体" w:hAnsi="Palatino Linotype"/>
                <w:sz w:val="20"/>
                <w:szCs w:val="20"/>
                <w:lang w:bidi="ar"/>
              </w:rPr>
              <w:t>1</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Style w:val="font01"/>
                <w:rFonts w:ascii="Palatino Linotype" w:hAnsi="Palatino Linotype" w:cs="Times New Roman" w:hint="default"/>
                <w:sz w:val="20"/>
                <w:szCs w:val="20"/>
                <w:lang w:bidi="ar"/>
              </w:rPr>
            </w:pPr>
            <w:r w:rsidRPr="00A66916">
              <w:rPr>
                <w:rFonts w:ascii="Palatino Linotype" w:eastAsia="宋体" w:hAnsi="Palatino Linotype"/>
                <w:sz w:val="20"/>
                <w:szCs w:val="20"/>
                <w:lang w:bidi="ar"/>
              </w:rPr>
              <w:t>SiO</w:t>
            </w:r>
            <w:r w:rsidRPr="00A66916">
              <w:rPr>
                <w:rFonts w:ascii="Palatino Linotype" w:eastAsia="宋体" w:hAnsi="Palatino Linotype"/>
                <w:sz w:val="20"/>
                <w:szCs w:val="20"/>
                <w:vertAlign w:val="subscript"/>
                <w:lang w:bidi="ar"/>
              </w:rPr>
              <w:t>2</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0.62–90.36</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147.90</w:t>
            </w:r>
          </w:p>
        </w:tc>
        <w:tc>
          <w:tcPr>
            <w:tcW w:w="0" w:type="auto"/>
            <w:tcBorders>
              <w:top w:val="nil"/>
              <w:left w:val="nil"/>
              <w:bottom w:val="nil"/>
              <w:right w:val="nil"/>
            </w:tcBorders>
            <w:shd w:val="clear" w:color="auto" w:fill="auto"/>
            <w:vAlign w:val="center"/>
          </w:tcPr>
          <w:p w:rsidR="002F54F0" w:rsidRPr="00A66916" w:rsidRDefault="002F54F0" w:rsidP="00F67ECE">
            <w:pPr>
              <w:widowControl/>
              <w:jc w:val="center"/>
              <w:rPr>
                <w:rFonts w:ascii="Palatino Linotype" w:hAnsi="Palatino Linotype"/>
                <w:color w:val="000000"/>
                <w:sz w:val="20"/>
                <w:szCs w:val="20"/>
              </w:rPr>
            </w:pPr>
            <w:r w:rsidRPr="00A66916">
              <w:rPr>
                <w:rFonts w:ascii="Palatino Linotype" w:hAnsi="Palatino Linotype"/>
                <w:color w:val="000000"/>
                <w:sz w:val="20"/>
                <w:szCs w:val="20"/>
              </w:rPr>
              <w:t>488.07</w:t>
            </w:r>
          </w:p>
        </w:tc>
      </w:tr>
      <w:tr w:rsidR="002F54F0" w:rsidRPr="00A66916" w:rsidTr="003E23C1">
        <w:trPr>
          <w:cantSplit/>
          <w:jc w:val="center"/>
        </w:trPr>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lang w:bidi="ar"/>
              </w:rPr>
            </w:pPr>
            <w:r w:rsidRPr="00A66916">
              <w:rPr>
                <w:rFonts w:ascii="Palatino Linotype" w:eastAsia="宋体" w:hAnsi="Palatino Linotype"/>
                <w:sz w:val="20"/>
                <w:szCs w:val="20"/>
                <w:lang w:bidi="ar"/>
              </w:rPr>
              <w:t>2</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Style w:val="font01"/>
                <w:rFonts w:ascii="Palatino Linotype" w:hAnsi="Palatino Linotype" w:cs="Times New Roman" w:hint="default"/>
                <w:sz w:val="20"/>
                <w:szCs w:val="20"/>
                <w:lang w:bidi="ar"/>
              </w:rPr>
            </w:pPr>
            <w:r w:rsidRPr="00A66916">
              <w:rPr>
                <w:rFonts w:ascii="Palatino Linotype" w:eastAsia="宋体" w:hAnsi="Palatino Linotype"/>
                <w:sz w:val="20"/>
                <w:szCs w:val="20"/>
                <w:lang w:bidi="ar"/>
              </w:rPr>
              <w:t>TiO</w:t>
            </w:r>
            <w:r w:rsidRPr="00A66916">
              <w:rPr>
                <w:rFonts w:ascii="Palatino Linotype" w:eastAsia="宋体" w:hAnsi="Palatino Linotype"/>
                <w:sz w:val="20"/>
                <w:szCs w:val="20"/>
                <w:vertAlign w:val="subscript"/>
                <w:lang w:bidi="ar"/>
              </w:rPr>
              <w:t>2</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0.004–7.69</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29.34</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96.82</w:t>
            </w:r>
          </w:p>
        </w:tc>
      </w:tr>
      <w:tr w:rsidR="002F54F0" w:rsidRPr="00A66916" w:rsidTr="003E23C1">
        <w:trPr>
          <w:cantSplit/>
          <w:jc w:val="center"/>
        </w:trPr>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lang w:bidi="ar"/>
              </w:rPr>
            </w:pPr>
            <w:r w:rsidRPr="00A66916">
              <w:rPr>
                <w:rFonts w:ascii="Palatino Linotype" w:eastAsia="宋体" w:hAnsi="Palatino Linotype"/>
                <w:sz w:val="20"/>
                <w:szCs w:val="20"/>
                <w:lang w:bidi="ar"/>
              </w:rPr>
              <w:t>3</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Style w:val="font01"/>
                <w:rFonts w:ascii="Palatino Linotype" w:hAnsi="Palatino Linotype" w:cs="Times New Roman" w:hint="default"/>
                <w:sz w:val="20"/>
                <w:szCs w:val="20"/>
                <w:lang w:bidi="ar"/>
              </w:rPr>
            </w:pPr>
            <w:r w:rsidRPr="00A66916">
              <w:rPr>
                <w:rFonts w:ascii="Palatino Linotype" w:eastAsia="宋体" w:hAnsi="Palatino Linotype"/>
                <w:sz w:val="20"/>
                <w:szCs w:val="20"/>
                <w:lang w:bidi="ar"/>
              </w:rPr>
              <w:t>Al</w:t>
            </w:r>
            <w:r w:rsidRPr="00A66916">
              <w:rPr>
                <w:rFonts w:ascii="Palatino Linotype" w:eastAsia="宋体" w:hAnsi="Palatino Linotype"/>
                <w:sz w:val="20"/>
                <w:szCs w:val="20"/>
                <w:vertAlign w:val="subscript"/>
                <w:lang w:bidi="ar"/>
              </w:rPr>
              <w:t>2</w:t>
            </w:r>
            <w:r w:rsidRPr="00A66916">
              <w:rPr>
                <w:rFonts w:ascii="Palatino Linotype" w:eastAsia="宋体" w:hAnsi="Palatino Linotype"/>
                <w:sz w:val="20"/>
                <w:szCs w:val="20"/>
                <w:lang w:bidi="ar"/>
              </w:rPr>
              <w:t>O</w:t>
            </w:r>
            <w:r w:rsidRPr="00A66916">
              <w:rPr>
                <w:rFonts w:ascii="Palatino Linotype" w:eastAsia="宋体" w:hAnsi="Palatino Linotype"/>
                <w:sz w:val="20"/>
                <w:szCs w:val="20"/>
                <w:vertAlign w:val="subscript"/>
                <w:lang w:bidi="ar"/>
              </w:rPr>
              <w:t>3</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0.1–59.20</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161.83</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534.04</w:t>
            </w:r>
          </w:p>
        </w:tc>
      </w:tr>
      <w:tr w:rsidR="002F54F0" w:rsidRPr="00A66916" w:rsidTr="003E23C1">
        <w:trPr>
          <w:cantSplit/>
          <w:jc w:val="center"/>
        </w:trPr>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lang w:bidi="ar"/>
              </w:rPr>
            </w:pPr>
            <w:r w:rsidRPr="00A66916">
              <w:rPr>
                <w:rFonts w:ascii="Palatino Linotype" w:eastAsia="宋体" w:hAnsi="Palatino Linotype"/>
                <w:sz w:val="20"/>
                <w:szCs w:val="20"/>
                <w:lang w:bidi="ar"/>
              </w:rPr>
              <w:t>4</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Style w:val="font01"/>
                <w:rFonts w:ascii="Palatino Linotype" w:hAnsi="Palatino Linotype" w:cs="Times New Roman" w:hint="default"/>
                <w:sz w:val="20"/>
                <w:szCs w:val="20"/>
                <w:lang w:bidi="ar"/>
              </w:rPr>
            </w:pPr>
            <w:r w:rsidRPr="00A66916">
              <w:rPr>
                <w:rFonts w:ascii="Palatino Linotype" w:eastAsia="宋体" w:hAnsi="Palatino Linotype"/>
                <w:sz w:val="20"/>
                <w:szCs w:val="20"/>
                <w:lang w:bidi="ar"/>
              </w:rPr>
              <w:t>TFe</w:t>
            </w:r>
            <w:r w:rsidRPr="00A66916">
              <w:rPr>
                <w:rFonts w:ascii="Palatino Linotype" w:eastAsia="宋体" w:hAnsi="Palatino Linotype"/>
                <w:sz w:val="20"/>
                <w:szCs w:val="20"/>
                <w:vertAlign w:val="subscript"/>
                <w:lang w:bidi="ar"/>
              </w:rPr>
              <w:t>2</w:t>
            </w:r>
            <w:r w:rsidRPr="00A66916">
              <w:rPr>
                <w:rFonts w:ascii="Palatino Linotype" w:eastAsia="宋体" w:hAnsi="Palatino Linotype"/>
                <w:sz w:val="20"/>
                <w:szCs w:val="20"/>
                <w:lang w:bidi="ar"/>
              </w:rPr>
              <w:t>O</w:t>
            </w:r>
            <w:r w:rsidRPr="00A66916">
              <w:rPr>
                <w:rFonts w:ascii="Palatino Linotype" w:eastAsia="宋体" w:hAnsi="Palatino Linotype"/>
                <w:sz w:val="20"/>
                <w:szCs w:val="20"/>
                <w:vertAlign w:val="subscript"/>
                <w:lang w:bidi="ar"/>
              </w:rPr>
              <w:t>3</w:t>
            </w:r>
            <w:r w:rsidRPr="00A66916">
              <w:rPr>
                <w:rFonts w:ascii="Palatino Linotype" w:eastAsia="宋体" w:hAnsi="Palatino Linotype"/>
                <w:sz w:val="20"/>
                <w:szCs w:val="20"/>
                <w:lang w:bidi="ar"/>
              </w:rPr>
              <w:t xml:space="preserve"> </w:t>
            </w:r>
            <w:r w:rsidRPr="00A66916">
              <w:rPr>
                <w:rFonts w:ascii="Palatino Linotype" w:eastAsia="宋体" w:hAnsi="Palatino Linotype"/>
                <w:sz w:val="20"/>
                <w:szCs w:val="20"/>
                <w:vertAlign w:val="superscript"/>
                <w:lang w:bidi="ar"/>
              </w:rPr>
              <w:t>b</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0.075–25.65</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16.28</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53.72</w:t>
            </w:r>
          </w:p>
        </w:tc>
      </w:tr>
      <w:tr w:rsidR="002F54F0" w:rsidRPr="00A66916" w:rsidTr="003E23C1">
        <w:trPr>
          <w:cantSplit/>
          <w:jc w:val="center"/>
        </w:trPr>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5</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hAnsi="Palatino Linotype"/>
                <w:sz w:val="20"/>
                <w:szCs w:val="20"/>
              </w:rPr>
            </w:pPr>
            <w:r w:rsidRPr="00A66916">
              <w:rPr>
                <w:rFonts w:ascii="Palatino Linotype" w:eastAsia="宋体" w:hAnsi="Palatino Linotype"/>
                <w:sz w:val="20"/>
                <w:szCs w:val="20"/>
              </w:rPr>
              <w:t>MnO</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0.001–0.43</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11.09</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36.60</w:t>
            </w:r>
          </w:p>
        </w:tc>
      </w:tr>
      <w:tr w:rsidR="002F54F0" w:rsidRPr="00A66916" w:rsidTr="003E23C1">
        <w:trPr>
          <w:cantSplit/>
          <w:jc w:val="center"/>
        </w:trPr>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6</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hAnsi="Palatino Linotype"/>
                <w:sz w:val="20"/>
                <w:szCs w:val="20"/>
              </w:rPr>
            </w:pPr>
            <w:r w:rsidRPr="00A66916">
              <w:rPr>
                <w:rFonts w:ascii="Palatino Linotype" w:eastAsia="宋体" w:hAnsi="Palatino Linotype"/>
                <w:sz w:val="20"/>
                <w:szCs w:val="20"/>
              </w:rPr>
              <w:t>MgO</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0.006–49.40</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85.41</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281.85</w:t>
            </w:r>
          </w:p>
        </w:tc>
      </w:tr>
      <w:tr w:rsidR="002F54F0" w:rsidRPr="00A66916" w:rsidTr="003E23C1">
        <w:trPr>
          <w:cantSplit/>
          <w:jc w:val="center"/>
        </w:trPr>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7</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hAnsi="Palatino Linotype"/>
                <w:sz w:val="20"/>
                <w:szCs w:val="20"/>
              </w:rPr>
            </w:pPr>
            <w:r w:rsidRPr="00A66916">
              <w:rPr>
                <w:rFonts w:ascii="Palatino Linotype" w:eastAsia="宋体" w:hAnsi="Palatino Linotype"/>
                <w:sz w:val="20"/>
                <w:szCs w:val="20"/>
              </w:rPr>
              <w:t>CaO</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0.04–51.10</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49.68</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163.94</w:t>
            </w:r>
          </w:p>
        </w:tc>
      </w:tr>
      <w:tr w:rsidR="002F54F0" w:rsidRPr="00A66916" w:rsidTr="003E23C1">
        <w:trPr>
          <w:cantSplit/>
          <w:jc w:val="center"/>
        </w:trPr>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8</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hAnsi="Palatino Linotype"/>
                <w:sz w:val="20"/>
                <w:szCs w:val="20"/>
              </w:rPr>
            </w:pPr>
            <w:r w:rsidRPr="00A66916">
              <w:rPr>
                <w:rFonts w:ascii="Palatino Linotype" w:eastAsia="宋体" w:hAnsi="Palatino Linotype"/>
                <w:sz w:val="20"/>
                <w:szCs w:val="20"/>
              </w:rPr>
              <w:t>Na</w:t>
            </w:r>
            <w:r w:rsidRPr="00A66916">
              <w:rPr>
                <w:rFonts w:ascii="Palatino Linotype" w:eastAsia="宋体" w:hAnsi="Palatino Linotype"/>
                <w:sz w:val="20"/>
                <w:szCs w:val="20"/>
                <w:vertAlign w:val="subscript"/>
              </w:rPr>
              <w:t>2</w:t>
            </w:r>
            <w:r w:rsidRPr="00A66916">
              <w:rPr>
                <w:rFonts w:ascii="Palatino Linotype" w:eastAsia="宋体" w:hAnsi="Palatino Linotype"/>
                <w:sz w:val="20"/>
                <w:szCs w:val="20"/>
              </w:rPr>
              <w:t>O</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0.008–10.59</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77.23</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254.86</w:t>
            </w:r>
          </w:p>
        </w:tc>
      </w:tr>
      <w:tr w:rsidR="002F54F0" w:rsidRPr="00A66916" w:rsidTr="003E23C1">
        <w:trPr>
          <w:cantSplit/>
          <w:jc w:val="center"/>
        </w:trPr>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9</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hAnsi="Palatino Linotype"/>
                <w:sz w:val="20"/>
                <w:szCs w:val="20"/>
              </w:rPr>
            </w:pPr>
            <w:r w:rsidRPr="00A66916">
              <w:rPr>
                <w:rFonts w:ascii="Palatino Linotype" w:eastAsia="宋体" w:hAnsi="Palatino Linotype"/>
                <w:sz w:val="20"/>
                <w:szCs w:val="20"/>
              </w:rPr>
              <w:t>K</w:t>
            </w:r>
            <w:r w:rsidRPr="00A66916">
              <w:rPr>
                <w:rFonts w:ascii="Palatino Linotype" w:eastAsia="宋体" w:hAnsi="Palatino Linotype"/>
                <w:sz w:val="20"/>
                <w:szCs w:val="20"/>
                <w:vertAlign w:val="subscript"/>
              </w:rPr>
              <w:t>2</w:t>
            </w:r>
            <w:r w:rsidRPr="00A66916">
              <w:rPr>
                <w:rFonts w:ascii="Palatino Linotype" w:eastAsia="宋体" w:hAnsi="Palatino Linotype"/>
                <w:sz w:val="20"/>
                <w:szCs w:val="20"/>
              </w:rPr>
              <w:t>O</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0.003–12.81</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20.37</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67.22</w:t>
            </w:r>
          </w:p>
        </w:tc>
      </w:tr>
      <w:tr w:rsidR="002F54F0" w:rsidRPr="00A66916" w:rsidTr="003E23C1">
        <w:trPr>
          <w:cantSplit/>
          <w:jc w:val="center"/>
        </w:trPr>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10</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P</w:t>
            </w:r>
            <w:r w:rsidRPr="00A66916">
              <w:rPr>
                <w:rFonts w:ascii="Palatino Linotype" w:eastAsia="宋体" w:hAnsi="Palatino Linotype"/>
                <w:sz w:val="20"/>
                <w:szCs w:val="20"/>
                <w:vertAlign w:val="subscript"/>
              </w:rPr>
              <w:t>2</w:t>
            </w:r>
            <w:r w:rsidRPr="00A66916">
              <w:rPr>
                <w:rFonts w:ascii="Palatino Linotype" w:eastAsia="宋体" w:hAnsi="Palatino Linotype"/>
                <w:sz w:val="20"/>
                <w:szCs w:val="20"/>
              </w:rPr>
              <w:t>O</w:t>
            </w:r>
            <w:r w:rsidRPr="00A66916">
              <w:rPr>
                <w:rFonts w:ascii="Palatino Linotype" w:eastAsia="宋体" w:hAnsi="Palatino Linotype"/>
                <w:sz w:val="20"/>
                <w:szCs w:val="20"/>
                <w:vertAlign w:val="subscript"/>
              </w:rPr>
              <w:t>5</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0.002–6.06</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16.67</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55.01</w:t>
            </w:r>
          </w:p>
        </w:tc>
      </w:tr>
      <w:tr w:rsidR="002F54F0" w:rsidRPr="00A66916" w:rsidTr="003E23C1">
        <w:trPr>
          <w:cantSplit/>
          <w:jc w:val="center"/>
        </w:trPr>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b/>
                <w:i/>
                <w:sz w:val="20"/>
                <w:szCs w:val="20"/>
              </w:rPr>
            </w:pPr>
            <w:r w:rsidRPr="00A66916">
              <w:rPr>
                <w:rFonts w:ascii="Palatino Linotype" w:eastAsia="宋体" w:hAnsi="Palatino Linotype"/>
                <w:b/>
                <w:i/>
                <w:sz w:val="20"/>
                <w:szCs w:val="20"/>
              </w:rPr>
              <w:t>SO</w:t>
            </w:r>
            <w:r w:rsidRPr="00A66916">
              <w:rPr>
                <w:rFonts w:ascii="Palatino Linotype" w:eastAsia="宋体" w:hAnsi="Palatino Linotype"/>
                <w:b/>
                <w:i/>
                <w:sz w:val="20"/>
                <w:szCs w:val="20"/>
                <w:vertAlign w:val="subscript"/>
              </w:rPr>
              <w:t>3</w:t>
            </w:r>
            <w:r w:rsidRPr="00A66916">
              <w:rPr>
                <w:rFonts w:ascii="Palatino Linotype" w:eastAsia="宋体" w:hAnsi="Palatino Linotype"/>
                <w:b/>
                <w:i/>
                <w:sz w:val="20"/>
                <w:szCs w:val="20"/>
                <w:vertAlign w:val="superscript"/>
                <w:lang w:bidi="ar"/>
              </w:rPr>
              <w:t xml:space="preserve"> c</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b/>
                <w:i/>
                <w:sz w:val="20"/>
                <w:szCs w:val="20"/>
              </w:rPr>
            </w:pPr>
            <w:r w:rsidRPr="00A66916">
              <w:rPr>
                <w:rFonts w:ascii="Palatino Linotype" w:eastAsia="宋体" w:hAnsi="Palatino Linotype"/>
                <w:b/>
                <w:i/>
                <w:sz w:val="20"/>
                <w:szCs w:val="20"/>
              </w:rPr>
              <w:t>0.002–0.9238</w:t>
            </w:r>
          </w:p>
        </w:tc>
        <w:tc>
          <w:tcPr>
            <w:tcW w:w="0" w:type="auto"/>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b/>
                <w:i/>
                <w:sz w:val="20"/>
                <w:szCs w:val="20"/>
              </w:rPr>
            </w:pPr>
            <w:r w:rsidRPr="00A66916">
              <w:rPr>
                <w:rFonts w:ascii="Palatino Linotype" w:eastAsia="宋体" w:hAnsi="Palatino Linotype"/>
                <w:b/>
                <w:i/>
                <w:sz w:val="20"/>
                <w:szCs w:val="20"/>
              </w:rPr>
              <w:t>28.74</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b/>
                <w:i/>
                <w:color w:val="000000"/>
                <w:sz w:val="20"/>
                <w:szCs w:val="20"/>
              </w:rPr>
            </w:pPr>
            <w:r w:rsidRPr="00A66916">
              <w:rPr>
                <w:rFonts w:ascii="Palatino Linotype" w:hAnsi="Palatino Linotype"/>
                <w:b/>
                <w:i/>
                <w:color w:val="000000"/>
                <w:sz w:val="20"/>
                <w:szCs w:val="20"/>
              </w:rPr>
              <w:t>94.84</w:t>
            </w:r>
          </w:p>
        </w:tc>
      </w:tr>
      <w:tr w:rsidR="002F54F0" w:rsidRPr="00A66916" w:rsidTr="00F67ECE">
        <w:trPr>
          <w:cantSplit/>
          <w:jc w:val="center"/>
        </w:trPr>
        <w:tc>
          <w:tcPr>
            <w:tcW w:w="0" w:type="auto"/>
            <w:tcBorders>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p>
        </w:tc>
        <w:tc>
          <w:tcPr>
            <w:tcW w:w="0" w:type="auto"/>
            <w:tcBorders>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Minor</w:t>
            </w:r>
          </w:p>
        </w:tc>
        <w:tc>
          <w:tcPr>
            <w:tcW w:w="0" w:type="auto"/>
            <w:tcBorders>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w:t>
            </w:r>
            <w:r w:rsidRPr="00A66916">
              <w:rPr>
                <w:rFonts w:ascii="Palatino Linotype" w:hAnsi="Palatino Linotype"/>
                <w:sz w:val="20"/>
                <w:szCs w:val="20"/>
              </w:rPr>
              <w:t>μg g</w:t>
            </w:r>
            <w:r w:rsidRPr="00A66916">
              <w:rPr>
                <w:rFonts w:ascii="Palatino Linotype" w:hAnsi="Palatino Linotype"/>
                <w:sz w:val="20"/>
                <w:szCs w:val="20"/>
                <w:vertAlign w:val="superscript"/>
              </w:rPr>
              <w:t>-1</w:t>
            </w:r>
            <w:r w:rsidRPr="00A66916">
              <w:rPr>
                <w:rFonts w:ascii="Palatino Linotype" w:hAnsi="Palatino Linotype"/>
                <w:sz w:val="20"/>
                <w:szCs w:val="20"/>
              </w:rPr>
              <w:t>)</w:t>
            </w:r>
          </w:p>
        </w:tc>
        <w:tc>
          <w:tcPr>
            <w:tcW w:w="0" w:type="auto"/>
            <w:tcBorders>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p>
        </w:tc>
      </w:tr>
      <w:tr w:rsidR="002F54F0" w:rsidRPr="00A66916" w:rsidTr="00F67ECE">
        <w:trPr>
          <w:cantSplit/>
          <w:jc w:val="center"/>
        </w:trPr>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Style w:val="font01"/>
                <w:rFonts w:ascii="Palatino Linotype" w:hAnsi="Palatino Linotype" w:cs="Times New Roman" w:hint="default"/>
                <w:sz w:val="20"/>
                <w:szCs w:val="20"/>
                <w:lang w:bidi="ar"/>
              </w:rPr>
            </w:pPr>
            <w:r w:rsidRPr="00A66916">
              <w:rPr>
                <w:rStyle w:val="font01"/>
                <w:rFonts w:ascii="Palatino Linotype" w:hAnsi="Palatino Linotype" w:cs="Times New Roman" w:hint="default"/>
                <w:sz w:val="20"/>
                <w:szCs w:val="20"/>
                <w:lang w:bidi="ar"/>
              </w:rPr>
              <w:t>11</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Style w:val="font01"/>
                <w:rFonts w:ascii="Palatino Linotype" w:hAnsi="Palatino Linotype" w:cs="Times New Roman" w:hint="default"/>
                <w:sz w:val="20"/>
                <w:szCs w:val="20"/>
                <w:lang w:bidi="ar"/>
              </w:rPr>
              <w:t>Ba</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6.4–4000</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52.67</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173.81</w:t>
            </w:r>
          </w:p>
        </w:tc>
      </w:tr>
      <w:tr w:rsidR="002F54F0" w:rsidRPr="00A66916" w:rsidTr="00F67ECE">
        <w:trPr>
          <w:cantSplit/>
          <w:jc w:val="center"/>
        </w:trPr>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Style w:val="font01"/>
                <w:rFonts w:ascii="Palatino Linotype" w:hAnsi="Palatino Linotype" w:cs="Times New Roman" w:hint="default"/>
                <w:sz w:val="20"/>
                <w:szCs w:val="20"/>
                <w:lang w:bidi="ar"/>
              </w:rPr>
            </w:pPr>
            <w:r w:rsidRPr="00A66916">
              <w:rPr>
                <w:rStyle w:val="font01"/>
                <w:rFonts w:ascii="Palatino Linotype" w:hAnsi="Palatino Linotype" w:cs="Times New Roman" w:hint="default"/>
                <w:sz w:val="20"/>
                <w:szCs w:val="20"/>
                <w:lang w:bidi="ar"/>
              </w:rPr>
              <w:t>12</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Co</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0.12–120</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8.66</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28.58</w:t>
            </w:r>
          </w:p>
        </w:tc>
      </w:tr>
      <w:tr w:rsidR="002F54F0" w:rsidRPr="00A66916" w:rsidTr="00F67ECE">
        <w:trPr>
          <w:cantSplit/>
          <w:jc w:val="center"/>
        </w:trPr>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Style w:val="font01"/>
                <w:rFonts w:ascii="Palatino Linotype" w:hAnsi="Palatino Linotype" w:cs="Times New Roman" w:hint="default"/>
                <w:sz w:val="20"/>
                <w:szCs w:val="20"/>
                <w:lang w:bidi="ar"/>
              </w:rPr>
            </w:pPr>
            <w:r w:rsidRPr="00A66916">
              <w:rPr>
                <w:rStyle w:val="font01"/>
                <w:rFonts w:ascii="Palatino Linotype" w:hAnsi="Palatino Linotype" w:cs="Times New Roman" w:hint="default"/>
                <w:sz w:val="20"/>
                <w:szCs w:val="20"/>
                <w:lang w:bidi="ar"/>
              </w:rPr>
              <w:t>13</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Style w:val="font01"/>
                <w:rFonts w:ascii="Palatino Linotype" w:hAnsi="Palatino Linotype" w:cs="Times New Roman" w:hint="default"/>
                <w:sz w:val="20"/>
                <w:szCs w:val="20"/>
                <w:lang w:bidi="ar"/>
              </w:rPr>
              <w:t>Cr</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1.6–15500</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11.19</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36.93</w:t>
            </w:r>
          </w:p>
        </w:tc>
      </w:tr>
      <w:tr w:rsidR="002F54F0" w:rsidRPr="00A66916" w:rsidTr="00F67ECE">
        <w:trPr>
          <w:cantSplit/>
          <w:jc w:val="center"/>
        </w:trPr>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Style w:val="font01"/>
                <w:rFonts w:ascii="Palatino Linotype" w:hAnsi="Palatino Linotype" w:cs="Times New Roman" w:hint="default"/>
                <w:sz w:val="20"/>
                <w:szCs w:val="20"/>
                <w:lang w:bidi="ar"/>
              </w:rPr>
            </w:pPr>
            <w:r w:rsidRPr="00A66916">
              <w:rPr>
                <w:rStyle w:val="font01"/>
                <w:rFonts w:ascii="Palatino Linotype" w:hAnsi="Palatino Linotype" w:cs="Times New Roman" w:hint="default"/>
                <w:sz w:val="20"/>
                <w:szCs w:val="20"/>
                <w:lang w:bidi="ar"/>
              </w:rPr>
              <w:t>14</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Style w:val="font01"/>
                <w:rFonts w:ascii="Palatino Linotype" w:hAnsi="Palatino Linotype" w:cs="Times New Roman" w:hint="default"/>
                <w:sz w:val="20"/>
                <w:szCs w:val="20"/>
                <w:lang w:bidi="ar"/>
              </w:rPr>
              <w:t>Cu</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0.82–1230</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7.13</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23.53</w:t>
            </w:r>
          </w:p>
        </w:tc>
      </w:tr>
      <w:tr w:rsidR="002F54F0" w:rsidRPr="00A66916" w:rsidTr="00F67ECE">
        <w:trPr>
          <w:cantSplit/>
          <w:jc w:val="center"/>
        </w:trPr>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15</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Style w:val="font01"/>
                <w:rFonts w:ascii="Palatino Linotype" w:hAnsi="Palatino Linotype" w:cs="Times New Roman" w:hint="default"/>
                <w:sz w:val="20"/>
                <w:szCs w:val="20"/>
                <w:lang w:bidi="ar"/>
              </w:rPr>
              <w:t>Ni</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0.9–3780</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5.52</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18.22</w:t>
            </w:r>
          </w:p>
        </w:tc>
      </w:tr>
      <w:tr w:rsidR="002F54F0" w:rsidRPr="00A66916" w:rsidTr="00F67ECE">
        <w:trPr>
          <w:cantSplit/>
          <w:jc w:val="center"/>
        </w:trPr>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16</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Rb</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0.8–3600</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5.51</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18.18</w:t>
            </w:r>
          </w:p>
        </w:tc>
      </w:tr>
      <w:tr w:rsidR="002F54F0" w:rsidRPr="00A66916" w:rsidTr="00F67ECE">
        <w:trPr>
          <w:cantSplit/>
          <w:jc w:val="center"/>
        </w:trPr>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17</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Sr</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2.3–12000</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4.04</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13.33</w:t>
            </w:r>
          </w:p>
        </w:tc>
      </w:tr>
      <w:tr w:rsidR="002F54F0" w:rsidRPr="00A66916" w:rsidTr="00F67ECE">
        <w:trPr>
          <w:cantSplit/>
          <w:jc w:val="center"/>
        </w:trPr>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18</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V</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0.0022–768</w:t>
            </w:r>
          </w:p>
        </w:tc>
        <w:tc>
          <w:tcPr>
            <w:tcW w:w="0" w:type="auto"/>
            <w:tcBorders>
              <w:top w:val="nil"/>
              <w:bottom w:val="nil"/>
            </w:tcBorders>
            <w:shd w:val="clear" w:color="auto" w:fill="auto"/>
            <w:vAlign w:val="center"/>
          </w:tcPr>
          <w:p w:rsidR="002F54F0" w:rsidRPr="00A66916" w:rsidRDefault="002F54F0" w:rsidP="00F67ECE">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13.16</w:t>
            </w:r>
          </w:p>
        </w:tc>
        <w:tc>
          <w:tcPr>
            <w:tcW w:w="0" w:type="auto"/>
            <w:tcBorders>
              <w:top w:val="nil"/>
              <w:left w:val="nil"/>
              <w:bottom w:val="nil"/>
              <w:right w:val="nil"/>
            </w:tcBorders>
            <w:shd w:val="clear" w:color="auto" w:fill="auto"/>
            <w:vAlign w:val="center"/>
          </w:tcPr>
          <w:p w:rsidR="002F54F0" w:rsidRPr="00A66916" w:rsidRDefault="002F54F0" w:rsidP="00F67ECE">
            <w:pPr>
              <w:jc w:val="center"/>
              <w:rPr>
                <w:rFonts w:ascii="Palatino Linotype" w:hAnsi="Palatino Linotype"/>
                <w:color w:val="000000"/>
                <w:sz w:val="20"/>
                <w:szCs w:val="20"/>
              </w:rPr>
            </w:pPr>
            <w:r w:rsidRPr="00A66916">
              <w:rPr>
                <w:rFonts w:ascii="Palatino Linotype" w:hAnsi="Palatino Linotype"/>
                <w:color w:val="000000"/>
                <w:sz w:val="20"/>
                <w:szCs w:val="20"/>
              </w:rPr>
              <w:t>43.43</w:t>
            </w:r>
          </w:p>
        </w:tc>
      </w:tr>
      <w:tr w:rsidR="00DC6FA3" w:rsidRPr="00A66916" w:rsidTr="00F67ECE">
        <w:trPr>
          <w:cantSplit/>
          <w:jc w:val="center"/>
        </w:trPr>
        <w:tc>
          <w:tcPr>
            <w:tcW w:w="0" w:type="auto"/>
            <w:tcBorders>
              <w:top w:val="nil"/>
              <w:bottom w:val="nil"/>
            </w:tcBorders>
            <w:shd w:val="clear" w:color="auto" w:fill="auto"/>
            <w:vAlign w:val="center"/>
          </w:tcPr>
          <w:p w:rsidR="00DC6FA3" w:rsidRPr="00A66916" w:rsidRDefault="00DC6FA3" w:rsidP="00DC6FA3">
            <w:pPr>
              <w:autoSpaceDE w:val="0"/>
              <w:autoSpaceDN w:val="0"/>
              <w:adjustRightInd w:val="0"/>
              <w:snapToGrid w:val="0"/>
              <w:jc w:val="center"/>
              <w:rPr>
                <w:rFonts w:ascii="Palatino Linotype" w:eastAsia="宋体" w:hAnsi="Palatino Linotype"/>
                <w:sz w:val="20"/>
                <w:szCs w:val="20"/>
              </w:rPr>
            </w:pPr>
            <w:r>
              <w:rPr>
                <w:rFonts w:ascii="Palatino Linotype" w:eastAsia="宋体" w:hAnsi="Palatino Linotype" w:hint="eastAsia"/>
                <w:sz w:val="20"/>
                <w:szCs w:val="20"/>
              </w:rPr>
              <w:t>19</w:t>
            </w:r>
          </w:p>
        </w:tc>
        <w:tc>
          <w:tcPr>
            <w:tcW w:w="0" w:type="auto"/>
            <w:tcBorders>
              <w:top w:val="nil"/>
              <w:bottom w:val="nil"/>
            </w:tcBorders>
            <w:shd w:val="clear" w:color="auto" w:fill="auto"/>
            <w:vAlign w:val="center"/>
          </w:tcPr>
          <w:p w:rsidR="00DC6FA3" w:rsidRPr="00A66916" w:rsidRDefault="00DC6FA3" w:rsidP="00DC6FA3">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Zn</w:t>
            </w:r>
          </w:p>
        </w:tc>
        <w:tc>
          <w:tcPr>
            <w:tcW w:w="0" w:type="auto"/>
            <w:tcBorders>
              <w:top w:val="nil"/>
              <w:bottom w:val="nil"/>
            </w:tcBorders>
            <w:shd w:val="clear" w:color="auto" w:fill="auto"/>
            <w:vAlign w:val="center"/>
          </w:tcPr>
          <w:p w:rsidR="00DC6FA3" w:rsidRPr="00A66916" w:rsidRDefault="00DC6FA3" w:rsidP="00DC6FA3">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3.5–1300</w:t>
            </w:r>
          </w:p>
        </w:tc>
        <w:tc>
          <w:tcPr>
            <w:tcW w:w="0" w:type="auto"/>
            <w:tcBorders>
              <w:top w:val="nil"/>
              <w:bottom w:val="nil"/>
            </w:tcBorders>
            <w:shd w:val="clear" w:color="auto" w:fill="auto"/>
            <w:vAlign w:val="center"/>
          </w:tcPr>
          <w:p w:rsidR="00DC6FA3" w:rsidRPr="00A66916" w:rsidRDefault="00DC6FA3" w:rsidP="00DC6FA3">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5.74</w:t>
            </w:r>
          </w:p>
        </w:tc>
        <w:tc>
          <w:tcPr>
            <w:tcW w:w="0" w:type="auto"/>
            <w:tcBorders>
              <w:top w:val="nil"/>
              <w:left w:val="nil"/>
              <w:bottom w:val="nil"/>
              <w:right w:val="nil"/>
            </w:tcBorders>
            <w:shd w:val="clear" w:color="auto" w:fill="auto"/>
            <w:vAlign w:val="center"/>
          </w:tcPr>
          <w:p w:rsidR="00DC6FA3" w:rsidRPr="00A66916" w:rsidRDefault="00DC6FA3" w:rsidP="00DC6FA3">
            <w:pPr>
              <w:jc w:val="center"/>
              <w:rPr>
                <w:rFonts w:ascii="Palatino Linotype" w:hAnsi="Palatino Linotype"/>
                <w:color w:val="000000"/>
                <w:sz w:val="20"/>
                <w:szCs w:val="20"/>
              </w:rPr>
            </w:pPr>
            <w:r w:rsidRPr="00A66916">
              <w:rPr>
                <w:rFonts w:ascii="Palatino Linotype" w:hAnsi="Palatino Linotype"/>
                <w:color w:val="000000"/>
                <w:sz w:val="20"/>
                <w:szCs w:val="20"/>
              </w:rPr>
              <w:t>18.94</w:t>
            </w:r>
          </w:p>
        </w:tc>
      </w:tr>
      <w:tr w:rsidR="00DC6FA3" w:rsidRPr="00A66916" w:rsidTr="00F67ECE">
        <w:trPr>
          <w:cantSplit/>
          <w:jc w:val="center"/>
        </w:trPr>
        <w:tc>
          <w:tcPr>
            <w:tcW w:w="0" w:type="auto"/>
            <w:tcBorders>
              <w:top w:val="nil"/>
              <w:bottom w:val="single" w:sz="4" w:space="0" w:color="auto"/>
            </w:tcBorders>
            <w:shd w:val="clear" w:color="auto" w:fill="auto"/>
            <w:vAlign w:val="center"/>
          </w:tcPr>
          <w:p w:rsidR="00DC6FA3" w:rsidRPr="00A66916" w:rsidRDefault="00DC6FA3" w:rsidP="00DC6FA3">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20</w:t>
            </w:r>
          </w:p>
        </w:tc>
        <w:tc>
          <w:tcPr>
            <w:tcW w:w="0" w:type="auto"/>
            <w:tcBorders>
              <w:top w:val="nil"/>
              <w:bottom w:val="single" w:sz="4" w:space="0" w:color="auto"/>
            </w:tcBorders>
            <w:shd w:val="clear" w:color="auto" w:fill="auto"/>
            <w:vAlign w:val="center"/>
          </w:tcPr>
          <w:p w:rsidR="00DC6FA3" w:rsidRPr="00A66916" w:rsidRDefault="00DC6FA3" w:rsidP="00DC6FA3">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Zr</w:t>
            </w:r>
          </w:p>
        </w:tc>
        <w:tc>
          <w:tcPr>
            <w:tcW w:w="0" w:type="auto"/>
            <w:tcBorders>
              <w:top w:val="nil"/>
              <w:bottom w:val="single" w:sz="4" w:space="0" w:color="auto"/>
            </w:tcBorders>
            <w:shd w:val="clear" w:color="auto" w:fill="auto"/>
            <w:vAlign w:val="center"/>
          </w:tcPr>
          <w:p w:rsidR="00DC6FA3" w:rsidRPr="00A66916" w:rsidRDefault="00DC6FA3" w:rsidP="00DC6FA3">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0.7–1540</w:t>
            </w:r>
          </w:p>
        </w:tc>
        <w:tc>
          <w:tcPr>
            <w:tcW w:w="0" w:type="auto"/>
            <w:tcBorders>
              <w:top w:val="nil"/>
              <w:bottom w:val="single" w:sz="4" w:space="0" w:color="auto"/>
            </w:tcBorders>
            <w:shd w:val="clear" w:color="auto" w:fill="auto"/>
            <w:vAlign w:val="center"/>
          </w:tcPr>
          <w:p w:rsidR="00DC6FA3" w:rsidRPr="00A66916" w:rsidRDefault="00DC6FA3" w:rsidP="00DC6FA3">
            <w:pPr>
              <w:autoSpaceDE w:val="0"/>
              <w:autoSpaceDN w:val="0"/>
              <w:adjustRightInd w:val="0"/>
              <w:snapToGrid w:val="0"/>
              <w:jc w:val="center"/>
              <w:rPr>
                <w:rFonts w:ascii="Palatino Linotype" w:eastAsia="宋体" w:hAnsi="Palatino Linotype"/>
                <w:sz w:val="20"/>
                <w:szCs w:val="20"/>
              </w:rPr>
            </w:pPr>
            <w:r w:rsidRPr="00A66916">
              <w:rPr>
                <w:rFonts w:ascii="Palatino Linotype" w:eastAsia="宋体" w:hAnsi="Palatino Linotype"/>
                <w:sz w:val="20"/>
                <w:szCs w:val="20"/>
              </w:rPr>
              <w:t>2.15</w:t>
            </w:r>
          </w:p>
        </w:tc>
        <w:tc>
          <w:tcPr>
            <w:tcW w:w="0" w:type="auto"/>
            <w:tcBorders>
              <w:top w:val="nil"/>
              <w:left w:val="nil"/>
              <w:bottom w:val="single" w:sz="4" w:space="0" w:color="auto"/>
              <w:right w:val="nil"/>
            </w:tcBorders>
            <w:shd w:val="clear" w:color="auto" w:fill="auto"/>
            <w:vAlign w:val="center"/>
          </w:tcPr>
          <w:p w:rsidR="00DC6FA3" w:rsidRPr="00A66916" w:rsidRDefault="00DC6FA3" w:rsidP="00DC6FA3">
            <w:pPr>
              <w:jc w:val="center"/>
              <w:rPr>
                <w:rFonts w:ascii="Palatino Linotype" w:hAnsi="Palatino Linotype"/>
                <w:color w:val="000000"/>
                <w:sz w:val="20"/>
                <w:szCs w:val="20"/>
              </w:rPr>
            </w:pPr>
            <w:r w:rsidRPr="00A66916">
              <w:rPr>
                <w:rFonts w:ascii="Palatino Linotype" w:hAnsi="Palatino Linotype"/>
                <w:color w:val="000000"/>
                <w:sz w:val="20"/>
                <w:szCs w:val="20"/>
              </w:rPr>
              <w:t>7.10</w:t>
            </w:r>
          </w:p>
        </w:tc>
      </w:tr>
    </w:tbl>
    <w:p w:rsidR="00245011" w:rsidRPr="00A66916" w:rsidRDefault="00C77635" w:rsidP="00027B2C">
      <w:pPr>
        <w:pStyle w:val="MDPI43tablefooter"/>
        <w:jc w:val="left"/>
        <w:rPr>
          <w:rFonts w:eastAsia="宋体"/>
          <w:sz w:val="20"/>
          <w:lang w:bidi="ar"/>
        </w:rPr>
      </w:pPr>
      <w:r w:rsidRPr="00A66916">
        <w:rPr>
          <w:rFonts w:eastAsia="宋体"/>
          <w:vertAlign w:val="superscript"/>
          <w:lang w:eastAsia="zh-CN"/>
        </w:rPr>
        <w:t>a</w:t>
      </w:r>
      <w:r w:rsidRPr="00A66916">
        <w:rPr>
          <w:rFonts w:eastAsia="宋体"/>
          <w:lang w:eastAsia="zh-CN"/>
        </w:rPr>
        <w:t xml:space="preserve"> m/m % is the mass percentage; </w:t>
      </w:r>
      <w:r w:rsidRPr="00A66916">
        <w:rPr>
          <w:rFonts w:eastAsia="宋体"/>
          <w:vertAlign w:val="superscript"/>
          <w:lang w:eastAsia="zh-CN"/>
        </w:rPr>
        <w:t>b</w:t>
      </w:r>
      <w:r w:rsidRPr="00A66916">
        <w:rPr>
          <w:rFonts w:eastAsia="宋体"/>
          <w:lang w:eastAsia="zh-CN"/>
        </w:rPr>
        <w:t xml:space="preserve"> </w:t>
      </w:r>
      <w:r w:rsidRPr="00A66916">
        <w:rPr>
          <w:rFonts w:eastAsia="宋体"/>
          <w:lang w:bidi="ar"/>
        </w:rPr>
        <w:t>TFe</w:t>
      </w:r>
      <w:r w:rsidRPr="00A66916">
        <w:rPr>
          <w:rFonts w:eastAsia="宋体"/>
          <w:vertAlign w:val="subscript"/>
          <w:lang w:bidi="ar"/>
        </w:rPr>
        <w:t>2</w:t>
      </w:r>
      <w:r w:rsidRPr="00A66916">
        <w:rPr>
          <w:rFonts w:eastAsia="宋体"/>
          <w:lang w:bidi="ar"/>
        </w:rPr>
        <w:t>O</w:t>
      </w:r>
      <w:r w:rsidRPr="00A66916">
        <w:rPr>
          <w:rFonts w:eastAsia="宋体"/>
          <w:vertAlign w:val="subscript"/>
          <w:lang w:bidi="ar"/>
        </w:rPr>
        <w:t xml:space="preserve">3 </w:t>
      </w:r>
      <w:r w:rsidRPr="00A66916">
        <w:rPr>
          <w:rFonts w:eastAsia="宋体"/>
          <w:lang w:eastAsia="zh-CN"/>
        </w:rPr>
        <w:t xml:space="preserve">is the </w:t>
      </w:r>
      <w:r w:rsidR="00373F18" w:rsidRPr="00A66916">
        <w:rPr>
          <w:rFonts w:eastAsia="宋体"/>
          <w:lang w:eastAsia="zh-CN"/>
        </w:rPr>
        <w:t xml:space="preserve">total iron oxide as ferric iron; </w:t>
      </w:r>
      <w:r w:rsidR="00373F18" w:rsidRPr="00A66916">
        <w:rPr>
          <w:rFonts w:eastAsia="宋体"/>
          <w:sz w:val="20"/>
          <w:vertAlign w:val="superscript"/>
          <w:lang w:bidi="ar"/>
        </w:rPr>
        <w:t>c</w:t>
      </w:r>
      <w:r w:rsidR="00373F18" w:rsidRPr="00A66916">
        <w:rPr>
          <w:rFonts w:eastAsia="宋体"/>
          <w:sz w:val="20"/>
          <w:lang w:bidi="ar"/>
        </w:rPr>
        <w:t xml:space="preserve"> This data is for reference purposes only.</w:t>
      </w:r>
      <w:r w:rsidR="00027B2C" w:rsidRPr="00A66916">
        <w:rPr>
          <w:rFonts w:eastAsia="宋体"/>
          <w:sz w:val="20"/>
          <w:lang w:bidi="ar"/>
        </w:rPr>
        <w:t xml:space="preserve"> </w:t>
      </w:r>
    </w:p>
    <w:p w:rsidR="00C77635" w:rsidRPr="007233C4" w:rsidRDefault="00C77635" w:rsidP="007233C4">
      <w:pPr>
        <w:pStyle w:val="MDPI43tablefooter"/>
        <w:spacing w:line="360" w:lineRule="auto"/>
        <w:jc w:val="left"/>
        <w:rPr>
          <w:rFonts w:eastAsia="宋体"/>
          <w:sz w:val="21"/>
          <w:szCs w:val="21"/>
          <w:lang w:eastAsia="zh-CN"/>
        </w:rPr>
      </w:pPr>
    </w:p>
    <w:p w:rsidR="00A66916" w:rsidRDefault="00A66916">
      <w:pPr>
        <w:widowControl/>
        <w:jc w:val="left"/>
        <w:rPr>
          <w:rFonts w:ascii="Times New Roman" w:hAnsi="Times New Roman" w:cs="Times New Roman"/>
          <w:color w:val="000000" w:themeColor="text1"/>
        </w:rPr>
      </w:pPr>
      <w:r>
        <w:rPr>
          <w:rFonts w:ascii="Times New Roman" w:hAnsi="Times New Roman" w:cs="Times New Roman"/>
          <w:color w:val="000000" w:themeColor="text1"/>
        </w:rPr>
        <w:br w:type="page"/>
      </w:r>
    </w:p>
    <w:p w:rsidR="00A94320" w:rsidRDefault="00A94320" w:rsidP="00CF4218">
      <w:pPr>
        <w:spacing w:line="36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R</w:t>
      </w:r>
      <w:r>
        <w:rPr>
          <w:rFonts w:ascii="Times New Roman" w:hAnsi="Times New Roman" w:cs="Times New Roman" w:hint="eastAsia"/>
          <w:color w:val="000000" w:themeColor="text1"/>
        </w:rPr>
        <w:t>ef</w:t>
      </w:r>
      <w:r>
        <w:rPr>
          <w:rFonts w:ascii="Times New Roman" w:hAnsi="Times New Roman" w:cs="Times New Roman"/>
          <w:color w:val="000000" w:themeColor="text1"/>
        </w:rPr>
        <w:t>erence</w:t>
      </w:r>
      <w:r w:rsidR="007F2EDD">
        <w:rPr>
          <w:rFonts w:ascii="Times New Roman" w:hAnsi="Times New Roman" w:cs="Times New Roman"/>
          <w:color w:val="000000" w:themeColor="text1"/>
        </w:rPr>
        <w:t>s</w:t>
      </w:r>
      <w:r>
        <w:rPr>
          <w:rFonts w:ascii="Times New Roman" w:hAnsi="Times New Roman" w:cs="Times New Roman"/>
          <w:color w:val="000000" w:themeColor="text1"/>
        </w:rPr>
        <w:t>:</w:t>
      </w:r>
    </w:p>
    <w:p w:rsidR="00276461" w:rsidRDefault="00276461" w:rsidP="00CF4218">
      <w:pPr>
        <w:spacing w:line="360" w:lineRule="auto"/>
      </w:pPr>
      <w:r>
        <w:rPr>
          <w:lang w:val="en"/>
        </w:rPr>
        <w:t>[</w:t>
      </w:r>
      <w:r w:rsidR="00BD653C">
        <w:rPr>
          <w:rFonts w:hint="eastAsia"/>
          <w:lang w:val="en"/>
        </w:rPr>
        <w:t>1</w:t>
      </w:r>
      <w:r>
        <w:rPr>
          <w:lang w:val="en"/>
        </w:rPr>
        <w:t>]</w:t>
      </w:r>
      <w:r w:rsidR="000468F0" w:rsidRPr="000468F0">
        <w:rPr>
          <w:lang w:val="en"/>
        </w:rPr>
        <w:t xml:space="preserve"> Xue, Ding-Shuai</w:t>
      </w:r>
      <w:r w:rsidR="000468F0">
        <w:t>;</w:t>
      </w:r>
      <w:r>
        <w:t> Su, B</w:t>
      </w:r>
      <w:r w:rsidR="000468F0">
        <w:t>en</w:t>
      </w:r>
      <w:r>
        <w:t>-X</w:t>
      </w:r>
      <w:r w:rsidR="000468F0">
        <w:t>un;</w:t>
      </w:r>
      <w:r>
        <w:t> Zhang,</w:t>
      </w:r>
      <w:r w:rsidR="000468F0">
        <w:t xml:space="preserve"> </w:t>
      </w:r>
      <w:r w:rsidR="000468F0" w:rsidRPr="000468F0">
        <w:rPr>
          <w:lang w:val="en"/>
        </w:rPr>
        <w:t>Dan-Ping;</w:t>
      </w:r>
      <w:r>
        <w:t> Liu,</w:t>
      </w:r>
      <w:r w:rsidR="000468F0" w:rsidRPr="000468F0">
        <w:rPr>
          <w:lang w:val="en"/>
        </w:rPr>
        <w:t xml:space="preserve"> Yan-Hong;</w:t>
      </w:r>
      <w:r>
        <w:t> Guo, </w:t>
      </w:r>
      <w:r w:rsidR="000468F0">
        <w:t>Ju-Jie;</w:t>
      </w:r>
      <w:r>
        <w:t> Guo, Q</w:t>
      </w:r>
      <w:r w:rsidR="000468F0">
        <w:t>ian; Sun, Jie</w:t>
      </w:r>
      <w:r>
        <w:t>-F</w:t>
      </w:r>
      <w:r w:rsidR="000468F0">
        <w:t>ang</w:t>
      </w:r>
      <w:r>
        <w:t> and Zhang, S</w:t>
      </w:r>
      <w:r w:rsidR="000468F0">
        <w:t>hu</w:t>
      </w:r>
      <w:r>
        <w:t>-Y</w:t>
      </w:r>
      <w:r w:rsidR="000468F0">
        <w:t>ing. </w:t>
      </w:r>
      <w:r>
        <w:t>Quantitative verification of 1:100 diluted fused glass beads for X-</w:t>
      </w:r>
      <w:r>
        <w:rPr>
          <w:rFonts w:hint="eastAsia"/>
        </w:rPr>
        <w:t>r</w:t>
      </w:r>
      <w:r>
        <w:t>ay fluorescence analysis of geological specimens. </w:t>
      </w:r>
      <w:r w:rsidRPr="00795C37">
        <w:rPr>
          <w:b/>
        </w:rPr>
        <w:t>Journal of Analytical Atomic Spectrometry</w:t>
      </w:r>
      <w:r>
        <w:t>, </w:t>
      </w:r>
      <w:r w:rsidR="00826C8D">
        <w:t xml:space="preserve">2020, </w:t>
      </w:r>
      <w:r>
        <w:t>DOI: 10.1039/D0JA00273A.</w:t>
      </w:r>
    </w:p>
    <w:p w:rsidR="00992D01" w:rsidRDefault="00276461" w:rsidP="00CF4218">
      <w:pPr>
        <w:spacing w:line="360" w:lineRule="auto"/>
        <w:rPr>
          <w:lang w:val="en"/>
        </w:rPr>
      </w:pPr>
      <w:r>
        <w:rPr>
          <w:lang w:val="en"/>
        </w:rPr>
        <w:t>[</w:t>
      </w:r>
      <w:r w:rsidR="00BE2787">
        <w:rPr>
          <w:lang w:val="en"/>
        </w:rPr>
        <w:t>2</w:t>
      </w:r>
      <w:r>
        <w:rPr>
          <w:lang w:val="en"/>
        </w:rPr>
        <w:t xml:space="preserve">] </w:t>
      </w:r>
      <w:r w:rsidR="000468F0" w:rsidRPr="000468F0">
        <w:rPr>
          <w:lang w:val="en"/>
        </w:rPr>
        <w:t xml:space="preserve">Zhang, Dan-Ping; Xue, Ding-Shuai; Liu, Yan-Hong; Wan, Bo; Guo, Qian; Guo, Ju-Jie. Comparative Study of Three Mixing Methods in Fusion Technique for Determining Major and Minor Elements Using Wavelength Dispersive X-ray Fluorescence Spectroscopy. </w:t>
      </w:r>
      <w:r w:rsidR="000468F0" w:rsidRPr="00971E75">
        <w:rPr>
          <w:b/>
          <w:lang w:val="en"/>
        </w:rPr>
        <w:t>Sensors</w:t>
      </w:r>
      <w:r w:rsidR="00971E75">
        <w:rPr>
          <w:b/>
          <w:lang w:val="en"/>
        </w:rPr>
        <w:t xml:space="preserve">, </w:t>
      </w:r>
      <w:r w:rsidR="00971E75" w:rsidRPr="00971E75">
        <w:rPr>
          <w:lang w:val="en"/>
        </w:rPr>
        <w:t>2020,</w:t>
      </w:r>
      <w:r w:rsidR="000468F0" w:rsidRPr="000468F0">
        <w:rPr>
          <w:lang w:val="en"/>
        </w:rPr>
        <w:t xml:space="preserve"> 20, no. 18</w:t>
      </w:r>
      <w:r w:rsidR="000468F0">
        <w:rPr>
          <w:lang w:val="en"/>
        </w:rPr>
        <w:t>: 5325</w:t>
      </w:r>
      <w:r w:rsidR="00992D01" w:rsidRPr="00992D01">
        <w:rPr>
          <w:lang w:val="en"/>
        </w:rPr>
        <w:t>.</w:t>
      </w:r>
    </w:p>
    <w:p w:rsidR="00BB64F7" w:rsidRPr="00BB64F7" w:rsidRDefault="00BB64F7" w:rsidP="00CF4218">
      <w:pPr>
        <w:spacing w:line="360" w:lineRule="auto"/>
        <w:rPr>
          <w:lang w:val="en"/>
        </w:rPr>
      </w:pPr>
      <w:r>
        <w:rPr>
          <w:rFonts w:hint="eastAsia"/>
          <w:lang w:val="en"/>
        </w:rPr>
        <w:t>[</w:t>
      </w:r>
      <w:r w:rsidR="00BE2787">
        <w:rPr>
          <w:lang w:val="en"/>
        </w:rPr>
        <w:t>3</w:t>
      </w:r>
      <w:r>
        <w:rPr>
          <w:rFonts w:hint="eastAsia"/>
          <w:lang w:val="en"/>
        </w:rPr>
        <w:t>]</w:t>
      </w:r>
      <w:r>
        <w:rPr>
          <w:lang w:val="en"/>
        </w:rPr>
        <w:t xml:space="preserve"> </w:t>
      </w:r>
      <w:r w:rsidR="00D03BB1" w:rsidRPr="000468F0">
        <w:rPr>
          <w:lang w:val="en"/>
        </w:rPr>
        <w:t>Xue,</w:t>
      </w:r>
      <w:r w:rsidR="00D03BB1">
        <w:rPr>
          <w:lang w:val="en"/>
        </w:rPr>
        <w:t xml:space="preserve"> </w:t>
      </w:r>
      <w:r w:rsidR="00D03BB1" w:rsidRPr="000468F0">
        <w:rPr>
          <w:lang w:val="en"/>
        </w:rPr>
        <w:t>Ding-Shuai</w:t>
      </w:r>
      <w:r w:rsidR="00D03BB1">
        <w:t>;</w:t>
      </w:r>
      <w:r w:rsidRPr="00BB64F7">
        <w:rPr>
          <w:lang w:val="en"/>
        </w:rPr>
        <w:t xml:space="preserve"> Wang</w:t>
      </w:r>
      <w:r w:rsidR="00D03BB1">
        <w:rPr>
          <w:lang w:val="en"/>
        </w:rPr>
        <w:t xml:space="preserve">; </w:t>
      </w:r>
      <w:r w:rsidR="00D03BB1">
        <w:t>Liu,</w:t>
      </w:r>
      <w:r w:rsidR="00D03BB1" w:rsidRPr="000468F0">
        <w:rPr>
          <w:lang w:val="en"/>
        </w:rPr>
        <w:t xml:space="preserve"> Yan-Hong;</w:t>
      </w:r>
      <w:r w:rsidR="00D03BB1">
        <w:t> </w:t>
      </w:r>
      <w:r w:rsidRPr="00BB64F7">
        <w:rPr>
          <w:lang w:val="en"/>
        </w:rPr>
        <w:t>Xie</w:t>
      </w:r>
      <w:r w:rsidR="00D03BB1">
        <w:rPr>
          <w:lang w:val="en"/>
        </w:rPr>
        <w:t>, Lie-Wen;</w:t>
      </w:r>
      <w:r w:rsidRPr="00BB64F7">
        <w:rPr>
          <w:lang w:val="en"/>
        </w:rPr>
        <w:t xml:space="preserve"> Shen</w:t>
      </w:r>
      <w:r w:rsidR="00D03BB1">
        <w:rPr>
          <w:lang w:val="en"/>
        </w:rPr>
        <w:t>, Ping.</w:t>
      </w:r>
      <w:r w:rsidR="008519A4" w:rsidRPr="008519A4">
        <w:t xml:space="preserve"> </w:t>
      </w:r>
      <w:r w:rsidR="008519A4">
        <w:t>Liu,</w:t>
      </w:r>
      <w:r w:rsidR="008519A4" w:rsidRPr="000468F0">
        <w:rPr>
          <w:lang w:val="en"/>
        </w:rPr>
        <w:t xml:space="preserve"> Yan-Hong;</w:t>
      </w:r>
      <w:r w:rsidRPr="00BB64F7">
        <w:rPr>
          <w:lang w:val="en"/>
        </w:rPr>
        <w:t xml:space="preserve"> An Improved Procedure for the Determination of Ferrous Iron Mass Fraction in Silicate Rocks Using a Schlenk Line-Based Digestion Apparatus to Exclude Oxygen, </w:t>
      </w:r>
      <w:r w:rsidRPr="00B23320">
        <w:rPr>
          <w:b/>
          <w:lang w:val="en"/>
        </w:rPr>
        <w:t>Geostandards and Geoanalytical Research</w:t>
      </w:r>
      <w:r w:rsidRPr="00BB64F7">
        <w:rPr>
          <w:lang w:val="en"/>
        </w:rPr>
        <w:t>,</w:t>
      </w:r>
      <w:r w:rsidR="00B23320">
        <w:rPr>
          <w:lang w:val="en"/>
        </w:rPr>
        <w:t xml:space="preserve"> 2017,</w:t>
      </w:r>
      <w:r w:rsidRPr="00BB64F7">
        <w:rPr>
          <w:lang w:val="en"/>
        </w:rPr>
        <w:t xml:space="preserve"> 41</w:t>
      </w:r>
      <w:r w:rsidR="00B23320">
        <w:rPr>
          <w:lang w:val="en"/>
        </w:rPr>
        <w:t xml:space="preserve">, </w:t>
      </w:r>
      <w:r w:rsidRPr="00BB64F7">
        <w:rPr>
          <w:lang w:val="en"/>
        </w:rPr>
        <w:t>411-425.</w:t>
      </w:r>
    </w:p>
    <w:p w:rsidR="00714D52" w:rsidRDefault="00714D52" w:rsidP="00CF4218">
      <w:pPr>
        <w:spacing w:line="360" w:lineRule="auto"/>
        <w:rPr>
          <w:lang w:val="en"/>
        </w:rPr>
      </w:pPr>
    </w:p>
    <w:p w:rsidR="00C77635" w:rsidRPr="00BB64F7" w:rsidRDefault="00C77635" w:rsidP="00CF4218">
      <w:pPr>
        <w:spacing w:line="360" w:lineRule="auto"/>
        <w:rPr>
          <w:lang w:val="en"/>
        </w:rPr>
      </w:pPr>
    </w:p>
    <w:sectPr w:rsidR="00C77635" w:rsidRPr="00BB64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479" w:rsidRDefault="00E85479" w:rsidP="0022489B">
      <w:r>
        <w:separator/>
      </w:r>
    </w:p>
  </w:endnote>
  <w:endnote w:type="continuationSeparator" w:id="0">
    <w:p w:rsidR="00E85479" w:rsidRDefault="00E85479" w:rsidP="0022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479" w:rsidRDefault="00E85479" w:rsidP="0022489B">
      <w:r>
        <w:separator/>
      </w:r>
    </w:p>
  </w:footnote>
  <w:footnote w:type="continuationSeparator" w:id="0">
    <w:p w:rsidR="00E85479" w:rsidRDefault="00E85479" w:rsidP="00224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D44A"/>
      </v:shape>
    </w:pict>
  </w:numPicBullet>
  <w:abstractNum w:abstractNumId="0" w15:restartNumberingAfterBreak="0">
    <w:nsid w:val="1DA32114"/>
    <w:multiLevelType w:val="hybridMultilevel"/>
    <w:tmpl w:val="2174CCB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9DF54FE"/>
    <w:multiLevelType w:val="hybridMultilevel"/>
    <w:tmpl w:val="6E1A7890"/>
    <w:lvl w:ilvl="0" w:tplc="A3AEB3B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J Hazardous Materials&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edx0sx20f5pfe0z24x9fdk9wv05twsztrv&quot;&gt;My EndNote Library&lt;record-ids&gt;&lt;item&gt;807&lt;/item&gt;&lt;/record-ids&gt;&lt;/item&gt;&lt;/Libraries&gt;"/>
  </w:docVars>
  <w:rsids>
    <w:rsidRoot w:val="00B03DAD"/>
    <w:rsid w:val="000271DD"/>
    <w:rsid w:val="00027B2C"/>
    <w:rsid w:val="000468F0"/>
    <w:rsid w:val="000B10DF"/>
    <w:rsid w:val="000C29A9"/>
    <w:rsid w:val="000D1965"/>
    <w:rsid w:val="000D2BE2"/>
    <w:rsid w:val="000E4632"/>
    <w:rsid w:val="000E522A"/>
    <w:rsid w:val="0013783E"/>
    <w:rsid w:val="00154D25"/>
    <w:rsid w:val="00173162"/>
    <w:rsid w:val="00196A0C"/>
    <w:rsid w:val="0022489B"/>
    <w:rsid w:val="0023474F"/>
    <w:rsid w:val="00245011"/>
    <w:rsid w:val="00257707"/>
    <w:rsid w:val="00276461"/>
    <w:rsid w:val="002D169B"/>
    <w:rsid w:val="002F54F0"/>
    <w:rsid w:val="00373F18"/>
    <w:rsid w:val="00390CE1"/>
    <w:rsid w:val="003A3E30"/>
    <w:rsid w:val="003B3AAB"/>
    <w:rsid w:val="003E47C6"/>
    <w:rsid w:val="003E4F4C"/>
    <w:rsid w:val="003E685F"/>
    <w:rsid w:val="003F1339"/>
    <w:rsid w:val="003F5C98"/>
    <w:rsid w:val="00481A01"/>
    <w:rsid w:val="0049320D"/>
    <w:rsid w:val="004C2506"/>
    <w:rsid w:val="004E0EB6"/>
    <w:rsid w:val="004F6C10"/>
    <w:rsid w:val="005009E8"/>
    <w:rsid w:val="005032E0"/>
    <w:rsid w:val="00522E24"/>
    <w:rsid w:val="005500FA"/>
    <w:rsid w:val="00590228"/>
    <w:rsid w:val="00594515"/>
    <w:rsid w:val="00607E40"/>
    <w:rsid w:val="00641ED2"/>
    <w:rsid w:val="006434AC"/>
    <w:rsid w:val="006619B3"/>
    <w:rsid w:val="00663B65"/>
    <w:rsid w:val="0069099F"/>
    <w:rsid w:val="006C6459"/>
    <w:rsid w:val="006D3ECE"/>
    <w:rsid w:val="006D711C"/>
    <w:rsid w:val="00714D52"/>
    <w:rsid w:val="007233C4"/>
    <w:rsid w:val="00723528"/>
    <w:rsid w:val="007300BA"/>
    <w:rsid w:val="00762B6A"/>
    <w:rsid w:val="00771AF4"/>
    <w:rsid w:val="00775C32"/>
    <w:rsid w:val="00795C37"/>
    <w:rsid w:val="007A139B"/>
    <w:rsid w:val="007E3A0F"/>
    <w:rsid w:val="007F2EDD"/>
    <w:rsid w:val="008143D0"/>
    <w:rsid w:val="00826C8D"/>
    <w:rsid w:val="008519A4"/>
    <w:rsid w:val="00904607"/>
    <w:rsid w:val="00910B84"/>
    <w:rsid w:val="00922733"/>
    <w:rsid w:val="00971E75"/>
    <w:rsid w:val="00982D4B"/>
    <w:rsid w:val="00987661"/>
    <w:rsid w:val="00992D01"/>
    <w:rsid w:val="0099683B"/>
    <w:rsid w:val="009B4257"/>
    <w:rsid w:val="00A16802"/>
    <w:rsid w:val="00A66916"/>
    <w:rsid w:val="00A71276"/>
    <w:rsid w:val="00A81038"/>
    <w:rsid w:val="00A94320"/>
    <w:rsid w:val="00AB300D"/>
    <w:rsid w:val="00AD52BD"/>
    <w:rsid w:val="00AE6E3C"/>
    <w:rsid w:val="00B03750"/>
    <w:rsid w:val="00B03DAD"/>
    <w:rsid w:val="00B214E5"/>
    <w:rsid w:val="00B23320"/>
    <w:rsid w:val="00B2648C"/>
    <w:rsid w:val="00BB64F7"/>
    <w:rsid w:val="00BC4007"/>
    <w:rsid w:val="00BD653C"/>
    <w:rsid w:val="00BE2787"/>
    <w:rsid w:val="00C04BAA"/>
    <w:rsid w:val="00C33965"/>
    <w:rsid w:val="00C77635"/>
    <w:rsid w:val="00C95733"/>
    <w:rsid w:val="00CD418B"/>
    <w:rsid w:val="00CD6D56"/>
    <w:rsid w:val="00CF4218"/>
    <w:rsid w:val="00D03BB1"/>
    <w:rsid w:val="00D30F7A"/>
    <w:rsid w:val="00D634EC"/>
    <w:rsid w:val="00DC0F24"/>
    <w:rsid w:val="00DC6FA3"/>
    <w:rsid w:val="00DD2539"/>
    <w:rsid w:val="00DD3E05"/>
    <w:rsid w:val="00E1447F"/>
    <w:rsid w:val="00E209B3"/>
    <w:rsid w:val="00E22D7C"/>
    <w:rsid w:val="00E26683"/>
    <w:rsid w:val="00E61B62"/>
    <w:rsid w:val="00E83E17"/>
    <w:rsid w:val="00E85165"/>
    <w:rsid w:val="00E85479"/>
    <w:rsid w:val="00EB6A27"/>
    <w:rsid w:val="00EE02B0"/>
    <w:rsid w:val="00F17955"/>
    <w:rsid w:val="00F23013"/>
    <w:rsid w:val="00F6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282182-1F04-4512-B1EB-4D1FA31F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8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4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489B"/>
    <w:rPr>
      <w:sz w:val="18"/>
      <w:szCs w:val="18"/>
    </w:rPr>
  </w:style>
  <w:style w:type="paragraph" w:styleId="a4">
    <w:name w:val="footer"/>
    <w:basedOn w:val="a"/>
    <w:link w:val="Char0"/>
    <w:uiPriority w:val="99"/>
    <w:unhideWhenUsed/>
    <w:rsid w:val="0022489B"/>
    <w:pPr>
      <w:tabs>
        <w:tab w:val="center" w:pos="4153"/>
        <w:tab w:val="right" w:pos="8306"/>
      </w:tabs>
      <w:snapToGrid w:val="0"/>
      <w:jc w:val="left"/>
    </w:pPr>
    <w:rPr>
      <w:sz w:val="18"/>
      <w:szCs w:val="18"/>
    </w:rPr>
  </w:style>
  <w:style w:type="character" w:customStyle="1" w:styleId="Char0">
    <w:name w:val="页脚 Char"/>
    <w:basedOn w:val="a0"/>
    <w:link w:val="a4"/>
    <w:uiPriority w:val="99"/>
    <w:rsid w:val="0022489B"/>
    <w:rPr>
      <w:sz w:val="18"/>
      <w:szCs w:val="18"/>
    </w:rPr>
  </w:style>
  <w:style w:type="paragraph" w:styleId="a5">
    <w:name w:val="List Paragraph"/>
    <w:basedOn w:val="a"/>
    <w:link w:val="Char1"/>
    <w:uiPriority w:val="34"/>
    <w:qFormat/>
    <w:rsid w:val="002D169B"/>
    <w:pPr>
      <w:ind w:firstLineChars="200" w:firstLine="420"/>
    </w:pPr>
  </w:style>
  <w:style w:type="paragraph" w:customStyle="1" w:styleId="EndNoteBibliography">
    <w:name w:val="EndNote Bibliography"/>
    <w:basedOn w:val="a"/>
    <w:link w:val="EndNoteBibliographyChar"/>
    <w:rsid w:val="00594515"/>
    <w:rPr>
      <w:rFonts w:ascii="Calibri" w:hAnsi="Calibri"/>
      <w:noProof/>
      <w:sz w:val="20"/>
    </w:rPr>
  </w:style>
  <w:style w:type="character" w:customStyle="1" w:styleId="EndNoteBibliographyChar">
    <w:name w:val="EndNote Bibliography Char"/>
    <w:basedOn w:val="a0"/>
    <w:link w:val="EndNoteBibliography"/>
    <w:rsid w:val="00594515"/>
    <w:rPr>
      <w:rFonts w:ascii="Calibri" w:hAnsi="Calibri"/>
      <w:noProof/>
      <w:sz w:val="20"/>
    </w:rPr>
  </w:style>
  <w:style w:type="paragraph" w:customStyle="1" w:styleId="EndNoteBibliographyTitle">
    <w:name w:val="EndNote Bibliography Title"/>
    <w:basedOn w:val="a"/>
    <w:link w:val="EndNoteBibliographyTitleChar"/>
    <w:rsid w:val="00714D52"/>
    <w:pPr>
      <w:jc w:val="center"/>
    </w:pPr>
    <w:rPr>
      <w:rFonts w:ascii="Calibri" w:hAnsi="Calibri"/>
      <w:noProof/>
      <w:sz w:val="20"/>
    </w:rPr>
  </w:style>
  <w:style w:type="character" w:customStyle="1" w:styleId="Char1">
    <w:name w:val="列出段落 Char"/>
    <w:basedOn w:val="a0"/>
    <w:link w:val="a5"/>
    <w:uiPriority w:val="34"/>
    <w:rsid w:val="00714D52"/>
  </w:style>
  <w:style w:type="character" w:customStyle="1" w:styleId="EndNoteBibliographyTitleChar">
    <w:name w:val="EndNote Bibliography Title Char"/>
    <w:basedOn w:val="Char1"/>
    <w:link w:val="EndNoteBibliographyTitle"/>
    <w:rsid w:val="00714D52"/>
    <w:rPr>
      <w:rFonts w:ascii="Calibri" w:hAnsi="Calibri"/>
      <w:noProof/>
      <w:sz w:val="20"/>
    </w:rPr>
  </w:style>
  <w:style w:type="paragraph" w:customStyle="1" w:styleId="MDPI41tablecaption">
    <w:name w:val="MDPI_4.1_table_caption"/>
    <w:basedOn w:val="a"/>
    <w:qFormat/>
    <w:rsid w:val="00C77635"/>
    <w:pPr>
      <w:widowControl/>
      <w:adjustRightInd w:val="0"/>
      <w:snapToGrid w:val="0"/>
      <w:spacing w:before="240" w:after="120" w:line="260" w:lineRule="atLeast"/>
      <w:ind w:left="425" w:right="425"/>
    </w:pPr>
    <w:rPr>
      <w:rFonts w:ascii="Palatino Linotype" w:eastAsia="Times New Roman" w:hAnsi="Palatino Linotype" w:cs="Times New Roman"/>
      <w:color w:val="000000"/>
      <w:kern w:val="0"/>
      <w:sz w:val="18"/>
      <w:lang w:eastAsia="de-DE" w:bidi="en-US"/>
    </w:rPr>
  </w:style>
  <w:style w:type="paragraph" w:customStyle="1" w:styleId="MDPI43tablefooter">
    <w:name w:val="MDPI_4.3_table_footer"/>
    <w:basedOn w:val="MDPI41tablecaption"/>
    <w:next w:val="a"/>
    <w:qFormat/>
    <w:rsid w:val="00C77635"/>
    <w:pPr>
      <w:spacing w:before="0"/>
      <w:ind w:left="0" w:right="0"/>
    </w:pPr>
  </w:style>
  <w:style w:type="character" w:customStyle="1" w:styleId="font01">
    <w:name w:val="font01"/>
    <w:rsid w:val="00C77635"/>
    <w:rPr>
      <w:rFonts w:ascii="宋体" w:eastAsia="宋体" w:hAnsi="宋体" w:cs="宋体" w:hint="eastAsia"/>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78485">
      <w:bodyDiv w:val="1"/>
      <w:marLeft w:val="0"/>
      <w:marRight w:val="0"/>
      <w:marTop w:val="0"/>
      <w:marBottom w:val="0"/>
      <w:divBdr>
        <w:top w:val="none" w:sz="0" w:space="0" w:color="auto"/>
        <w:left w:val="none" w:sz="0" w:space="0" w:color="auto"/>
        <w:bottom w:val="none" w:sz="0" w:space="0" w:color="auto"/>
        <w:right w:val="none" w:sz="0" w:space="0" w:color="auto"/>
      </w:divBdr>
    </w:div>
    <w:div w:id="44840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ED10B-B457-41D1-B4F2-DAD90196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920</Words>
  <Characters>5248</Characters>
  <Application>Microsoft Office Word</Application>
  <DocSecurity>0</DocSecurity>
  <Lines>43</Lines>
  <Paragraphs>12</Paragraphs>
  <ScaleCrop>false</ScaleCrop>
  <Company>Lenovo</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xds</dc:creator>
  <cp:keywords/>
  <dc:description/>
  <cp:lastModifiedBy>Microsoft 帐户</cp:lastModifiedBy>
  <cp:revision>80</cp:revision>
  <dcterms:created xsi:type="dcterms:W3CDTF">2018-12-22T09:26:00Z</dcterms:created>
  <dcterms:modified xsi:type="dcterms:W3CDTF">2023-02-15T01:02:00Z</dcterms:modified>
</cp:coreProperties>
</file>